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B415A1">
      <w:pPr>
        <w:spacing w:line="360" w:lineRule="auto"/>
        <w:rPr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眩晕诊疗系统（</w:t>
      </w:r>
      <w:r>
        <w:rPr>
          <w:rFonts w:hint="eastAsia"/>
          <w:sz w:val="32"/>
          <w:szCs w:val="32"/>
        </w:rPr>
        <w:t>良性阵发性位置性眩晕诊疗系统</w:t>
      </w:r>
      <w:r>
        <w:rPr>
          <w:rFonts w:hint="eastAsia"/>
          <w:sz w:val="32"/>
          <w:szCs w:val="32"/>
          <w:lang w:eastAsia="zh-CN"/>
        </w:rPr>
        <w:t>）</w:t>
      </w:r>
      <w:r>
        <w:rPr>
          <w:rFonts w:hint="eastAsia"/>
          <w:sz w:val="32"/>
          <w:szCs w:val="32"/>
        </w:rPr>
        <w:t>技术参数</w:t>
      </w:r>
    </w:p>
    <w:p w14:paraId="7C38DBBF">
      <w:pPr>
        <w:spacing w:line="360" w:lineRule="auto"/>
        <w:rPr>
          <w:rFonts w:hint="eastAsia"/>
          <w:b/>
          <w:szCs w:val="24"/>
        </w:rPr>
      </w:pPr>
    </w:p>
    <w:p w14:paraId="2F3C921A">
      <w:pPr>
        <w:spacing w:line="360" w:lineRule="auto"/>
        <w:rPr>
          <w:b/>
          <w:szCs w:val="24"/>
        </w:rPr>
      </w:pPr>
      <w:r>
        <w:rPr>
          <w:rFonts w:hint="eastAsia"/>
          <w:b/>
          <w:szCs w:val="24"/>
        </w:rPr>
        <w:t>一、主要要求：</w:t>
      </w:r>
    </w:p>
    <w:p w14:paraId="5BFA5B48">
      <w:pPr>
        <w:spacing w:line="360" w:lineRule="auto"/>
        <w:rPr>
          <w:rFonts w:hint="eastAsia"/>
          <w:szCs w:val="24"/>
        </w:rPr>
      </w:pPr>
      <w:r>
        <w:rPr>
          <w:rFonts w:hint="eastAsia"/>
          <w:szCs w:val="24"/>
        </w:rPr>
        <w:t>1.1产品注册适用范围：适用于良性阵发性位置性眩晕的诊断和治疗</w:t>
      </w:r>
    </w:p>
    <w:p w14:paraId="50D0E62D">
      <w:pPr>
        <w:spacing w:line="360" w:lineRule="auto"/>
        <w:rPr>
          <w:szCs w:val="24"/>
        </w:rPr>
      </w:pPr>
      <w:r>
        <w:rPr>
          <w:rFonts w:hint="eastAsia" w:ascii="宋体" w:hAnsi="宋体" w:eastAsia="宋体"/>
          <w:szCs w:val="24"/>
          <w:lang w:eastAsia="zh-CN"/>
        </w:rPr>
        <w:t>★</w:t>
      </w:r>
      <w:r>
        <w:rPr>
          <w:rFonts w:hint="eastAsia"/>
          <w:szCs w:val="24"/>
        </w:rPr>
        <w:t>1.2适用于梅尼埃病、突发性耳聋合并眩晕等前庭性疾病的辅助检查（注册证适用范围须体现，提供医疗器械注册证证明）</w:t>
      </w:r>
    </w:p>
    <w:p w14:paraId="04A98404">
      <w:pPr>
        <w:spacing w:line="360" w:lineRule="auto"/>
        <w:rPr>
          <w:b/>
          <w:szCs w:val="24"/>
        </w:rPr>
      </w:pPr>
      <w:r>
        <w:rPr>
          <w:rFonts w:hint="eastAsia"/>
          <w:b/>
          <w:szCs w:val="24"/>
        </w:rPr>
        <w:t>二、产品构成技术要求：</w:t>
      </w:r>
    </w:p>
    <w:p w14:paraId="13B194AB">
      <w:pPr>
        <w:spacing w:line="360" w:lineRule="auto"/>
        <w:rPr>
          <w:szCs w:val="24"/>
        </w:rPr>
      </w:pPr>
      <w:r>
        <w:rPr>
          <w:rFonts w:hint="eastAsia"/>
          <w:szCs w:val="24"/>
        </w:rPr>
        <w:t>2.1主轴、辅轴：主轴和辅轴2个转动轴处于垂直方向，可同时两轴三维转动，无转动角度限制</w:t>
      </w:r>
    </w:p>
    <w:p w14:paraId="76EE96DB">
      <w:pPr>
        <w:spacing w:line="360" w:lineRule="auto"/>
        <w:rPr>
          <w:szCs w:val="24"/>
        </w:rPr>
      </w:pPr>
      <w:r>
        <w:rPr>
          <w:rFonts w:hint="eastAsia"/>
          <w:szCs w:val="24"/>
        </w:rPr>
        <w:t>2.2转动角度：可数字输入控制，误差≤2゜</w:t>
      </w:r>
      <w:r>
        <w:rPr>
          <w:rFonts w:hint="eastAsia"/>
          <w:szCs w:val="24"/>
          <w:lang w:eastAsia="zh-CN"/>
        </w:rPr>
        <w:t>，</w:t>
      </w:r>
      <w:r>
        <w:rPr>
          <w:rFonts w:hint="eastAsia"/>
          <w:szCs w:val="24"/>
        </w:rPr>
        <w:t>分辨率为 1゜；</w:t>
      </w:r>
    </w:p>
    <w:p w14:paraId="4A3F9C42">
      <w:pPr>
        <w:spacing w:line="360" w:lineRule="auto"/>
        <w:rPr>
          <w:rFonts w:hint="eastAsia" w:eastAsiaTheme="minorEastAsia"/>
          <w:szCs w:val="24"/>
          <w:lang w:eastAsia="zh-CN"/>
        </w:rPr>
      </w:pPr>
      <w:r>
        <w:rPr>
          <w:rFonts w:hint="eastAsia"/>
          <w:szCs w:val="24"/>
        </w:rPr>
        <w:t>2.3转速</w:t>
      </w:r>
      <w:r>
        <w:rPr>
          <w:rFonts w:hint="eastAsia"/>
          <w:szCs w:val="24"/>
          <w:lang w:eastAsia="zh-CN"/>
        </w:rPr>
        <w:t>：</w:t>
      </w:r>
      <w:r>
        <w:rPr>
          <w:rFonts w:hint="eastAsia"/>
          <w:szCs w:val="24"/>
        </w:rPr>
        <w:t>可数字输入控制，最大180 ゜/s，误差≤5%</w:t>
      </w:r>
      <w:r>
        <w:rPr>
          <w:rFonts w:hint="eastAsia"/>
          <w:szCs w:val="24"/>
          <w:lang w:eastAsia="zh-CN"/>
        </w:rPr>
        <w:t>，</w:t>
      </w:r>
      <w:r>
        <w:rPr>
          <w:rFonts w:hint="eastAsia"/>
          <w:szCs w:val="24"/>
        </w:rPr>
        <w:t>分辨率为 1゜/s</w:t>
      </w:r>
      <w:r>
        <w:rPr>
          <w:rFonts w:hint="eastAsia"/>
          <w:szCs w:val="24"/>
          <w:lang w:eastAsia="zh-CN"/>
        </w:rPr>
        <w:t>；</w:t>
      </w:r>
    </w:p>
    <w:p w14:paraId="51437D70">
      <w:pPr>
        <w:spacing w:line="360" w:lineRule="auto"/>
        <w:rPr>
          <w:rFonts w:hint="eastAsia" w:eastAsiaTheme="minorEastAsia"/>
          <w:szCs w:val="24"/>
          <w:lang w:eastAsia="zh-CN"/>
        </w:rPr>
      </w:pPr>
      <w:r>
        <w:rPr>
          <w:rFonts w:hint="eastAsia"/>
          <w:szCs w:val="24"/>
        </w:rPr>
        <w:t>2.4加速度可数字输入控制，最大180゜/</w:t>
      </w:r>
      <w:r>
        <w:rPr>
          <w:szCs w:val="24"/>
        </w:rPr>
        <w:t xml:space="preserve"> S²  </w:t>
      </w:r>
      <w:r>
        <w:rPr>
          <w:rFonts w:hint="eastAsia"/>
          <w:szCs w:val="24"/>
        </w:rPr>
        <w:t>，误差≤5%</w:t>
      </w:r>
      <w:r>
        <w:rPr>
          <w:rFonts w:hint="eastAsia"/>
          <w:szCs w:val="24"/>
          <w:lang w:eastAsia="zh-CN"/>
        </w:rPr>
        <w:t>，</w:t>
      </w:r>
      <w:r>
        <w:rPr>
          <w:rFonts w:hint="eastAsia"/>
          <w:szCs w:val="24"/>
        </w:rPr>
        <w:t>分辨率为0.5゜/ s</w:t>
      </w:r>
      <w:r>
        <w:rPr>
          <w:szCs w:val="24"/>
        </w:rPr>
        <w:t xml:space="preserve"> </w:t>
      </w:r>
      <w:r>
        <w:rPr>
          <w:rFonts w:hint="eastAsia"/>
          <w:szCs w:val="24"/>
          <w:lang w:eastAsia="zh-CN"/>
        </w:rPr>
        <w:t>；</w:t>
      </w:r>
    </w:p>
    <w:p w14:paraId="0B21EB52">
      <w:pPr>
        <w:spacing w:line="360" w:lineRule="auto"/>
        <w:rPr>
          <w:szCs w:val="24"/>
        </w:rPr>
      </w:pPr>
      <w:r>
        <w:rPr>
          <w:rFonts w:hint="eastAsia" w:asciiTheme="minorEastAsia" w:hAnsiTheme="minorEastAsia"/>
          <w:szCs w:val="24"/>
          <w:lang w:eastAsia="zh-CN"/>
        </w:rPr>
        <w:t>★</w:t>
      </w:r>
      <w:r>
        <w:rPr>
          <w:rFonts w:hint="eastAsia"/>
          <w:szCs w:val="24"/>
        </w:rPr>
        <w:t>2.5操控台：整体操控台，内置计算机主机，2个显示器，一个用于设备的操控和眼震数据分析研判；另一个专门用于眼震的观察（提供产品彩页证明）</w:t>
      </w:r>
    </w:p>
    <w:p w14:paraId="491609D9">
      <w:pPr>
        <w:spacing w:line="360" w:lineRule="auto"/>
        <w:rPr>
          <w:rFonts w:hint="eastAsia" w:eastAsiaTheme="minorEastAsia"/>
          <w:szCs w:val="24"/>
          <w:lang w:val="en-US" w:eastAsia="zh-CN"/>
        </w:rPr>
      </w:pPr>
      <w:r>
        <w:rPr>
          <w:rFonts w:hint="eastAsia"/>
          <w:szCs w:val="24"/>
        </w:rPr>
        <w:t>2.6患者座椅：具有液压式自动控制安全杠，9道插扣式安全带，分别固定人体肩、背、胸、腹、大腿、小腿</w:t>
      </w:r>
      <w:r>
        <w:rPr>
          <w:rFonts w:hint="eastAsia"/>
          <w:szCs w:val="24"/>
          <w:lang w:val="en-US" w:eastAsia="zh-CN"/>
        </w:rPr>
        <w:t>等</w:t>
      </w:r>
    </w:p>
    <w:p w14:paraId="0128A22D">
      <w:pPr>
        <w:spacing w:line="360" w:lineRule="auto"/>
        <w:rPr>
          <w:szCs w:val="24"/>
        </w:rPr>
      </w:pPr>
      <w:r>
        <w:rPr>
          <w:rFonts w:hint="eastAsia"/>
          <w:szCs w:val="24"/>
        </w:rPr>
        <w:t>2.7视频眼罩：</w:t>
      </w:r>
    </w:p>
    <w:p w14:paraId="6B684CE5">
      <w:pPr>
        <w:spacing w:line="360" w:lineRule="auto"/>
        <w:rPr>
          <w:rFonts w:hint="eastAsia"/>
          <w:szCs w:val="24"/>
        </w:rPr>
      </w:pPr>
      <w:r>
        <w:rPr>
          <w:rFonts w:hint="eastAsia" w:asciiTheme="minorEastAsia" w:hAnsiTheme="minorEastAsia"/>
          <w:szCs w:val="24"/>
          <w:lang w:eastAsia="zh-CN"/>
        </w:rPr>
        <w:t>★</w:t>
      </w:r>
      <w:r>
        <w:rPr>
          <w:rFonts w:hint="eastAsia" w:asciiTheme="minorEastAsia" w:hAnsiTheme="minorEastAsia"/>
          <w:szCs w:val="24"/>
        </w:rPr>
        <w:t>2.7.1</w:t>
      </w:r>
      <w:r>
        <w:rPr>
          <w:rFonts w:hint="eastAsia"/>
          <w:szCs w:val="24"/>
        </w:rPr>
        <w:t>具备2个红外视频摄像头，可左右眼视频摄取，无需翻转使用，方便左右眼对照观察，对单眼有疾患的患者不影响诊疗（提供产品彩页证明）</w:t>
      </w:r>
    </w:p>
    <w:p w14:paraId="3DFB9B7D">
      <w:pPr>
        <w:spacing w:line="360" w:lineRule="auto"/>
        <w:rPr>
          <w:szCs w:val="24"/>
        </w:rPr>
      </w:pPr>
      <w:r>
        <w:rPr>
          <w:rFonts w:hint="eastAsia"/>
          <w:szCs w:val="24"/>
        </w:rPr>
        <w:t>2.7.2内置固视抑制灯，自动定标，可作自发眼震、固视抑制检查、凝视检查</w:t>
      </w:r>
    </w:p>
    <w:p w14:paraId="5EA4BEF6">
      <w:pPr>
        <w:spacing w:line="360" w:lineRule="auto"/>
        <w:rPr>
          <w:szCs w:val="24"/>
        </w:rPr>
      </w:pPr>
      <w:r>
        <w:rPr>
          <w:rFonts w:hint="eastAsia"/>
          <w:szCs w:val="24"/>
        </w:rPr>
        <w:t>2</w:t>
      </w:r>
      <w:r>
        <w:rPr>
          <w:szCs w:val="24"/>
        </w:rPr>
        <w:t>.</w:t>
      </w:r>
      <w:r>
        <w:rPr>
          <w:rFonts w:hint="eastAsia"/>
          <w:szCs w:val="24"/>
        </w:rPr>
        <w:t>7.3数据信号：采用有线传输，抗干扰强，避免无线传输易干扰和信号图像失真</w:t>
      </w:r>
    </w:p>
    <w:p w14:paraId="5CEF8AE3">
      <w:pPr>
        <w:spacing w:line="360" w:lineRule="auto"/>
        <w:rPr>
          <w:b/>
          <w:szCs w:val="24"/>
        </w:rPr>
      </w:pPr>
      <w:r>
        <w:rPr>
          <w:rFonts w:hint="eastAsia"/>
          <w:b/>
          <w:szCs w:val="24"/>
        </w:rPr>
        <w:t>三、功能要求：</w:t>
      </w:r>
    </w:p>
    <w:p w14:paraId="22F993BB">
      <w:pPr>
        <w:spacing w:line="360" w:lineRule="auto"/>
        <w:rPr>
          <w:szCs w:val="24"/>
        </w:rPr>
      </w:pPr>
      <w:r>
        <w:rPr>
          <w:rFonts w:hint="eastAsia"/>
          <w:szCs w:val="24"/>
        </w:rPr>
        <w:t>3.1具备头位转换器：头位直立/前倾30゜可自动转换调整，用于前庭功能检测</w:t>
      </w:r>
    </w:p>
    <w:p w14:paraId="63FA00E7">
      <w:pPr>
        <w:spacing w:line="360" w:lineRule="auto"/>
        <w:rPr>
          <w:rFonts w:hint="eastAsia" w:eastAsiaTheme="minorEastAsia"/>
          <w:szCs w:val="24"/>
          <w:lang w:val="en-US" w:eastAsia="zh-CN"/>
        </w:rPr>
      </w:pPr>
      <w:r>
        <w:rPr>
          <w:rFonts w:hint="eastAsia"/>
          <w:szCs w:val="24"/>
        </w:rPr>
        <w:t>3.2、前庭功能检测：包括转椅急停试验、速度阶梯试验、正弦摆动试验、正弦谐波试验（SHAT）、阻尼试验</w:t>
      </w:r>
      <w:r>
        <w:rPr>
          <w:rFonts w:hint="eastAsia"/>
          <w:szCs w:val="24"/>
          <w:lang w:val="en-US" w:eastAsia="zh-CN"/>
        </w:rPr>
        <w:t>等</w:t>
      </w:r>
    </w:p>
    <w:p w14:paraId="5F5CBE52">
      <w:pPr>
        <w:spacing w:line="360" w:lineRule="auto"/>
        <w:rPr>
          <w:szCs w:val="24"/>
        </w:rPr>
      </w:pPr>
      <w:r>
        <w:rPr>
          <w:rFonts w:hint="eastAsia"/>
          <w:szCs w:val="24"/>
        </w:rPr>
        <w:t>3.3前庭康复：能够对晕动症（晕车、晕船、晕机、恐高）的诊断和治疗，对前庭功能的康复训练。</w:t>
      </w:r>
    </w:p>
    <w:p w14:paraId="667E1A0F">
      <w:pPr>
        <w:spacing w:line="360" w:lineRule="auto"/>
        <w:rPr>
          <w:b/>
          <w:szCs w:val="24"/>
        </w:rPr>
      </w:pPr>
      <w:r>
        <w:rPr>
          <w:rFonts w:hint="eastAsia"/>
          <w:b/>
          <w:szCs w:val="24"/>
        </w:rPr>
        <w:t>四、软件：</w:t>
      </w:r>
    </w:p>
    <w:p w14:paraId="48FFC120">
      <w:pPr>
        <w:spacing w:line="360" w:lineRule="auto"/>
        <w:rPr>
          <w:szCs w:val="24"/>
        </w:rPr>
      </w:pPr>
      <w:r>
        <w:rPr>
          <w:rFonts w:hint="eastAsia" w:asciiTheme="minorEastAsia" w:hAnsiTheme="minorEastAsia"/>
          <w:szCs w:val="24"/>
          <w:lang w:eastAsia="zh-CN"/>
        </w:rPr>
        <w:t>★</w:t>
      </w:r>
      <w:r>
        <w:rPr>
          <w:rFonts w:hint="eastAsia"/>
          <w:szCs w:val="24"/>
        </w:rPr>
        <w:t>4.1具备双侧前庭功能分析试验的诊疗应用软件（提供计算机软件著作权登记证书证明）</w:t>
      </w:r>
    </w:p>
    <w:p w14:paraId="02260609">
      <w:pPr>
        <w:spacing w:line="360" w:lineRule="auto"/>
        <w:rPr>
          <w:szCs w:val="24"/>
        </w:rPr>
      </w:pPr>
      <w:r>
        <w:rPr>
          <w:rFonts w:hint="eastAsia"/>
          <w:szCs w:val="24"/>
        </w:rPr>
        <w:t>4.</w:t>
      </w:r>
      <w:r>
        <w:rPr>
          <w:rFonts w:hint="eastAsia"/>
          <w:szCs w:val="24"/>
          <w:lang w:val="en-US" w:eastAsia="zh-CN"/>
        </w:rPr>
        <w:t>2</w:t>
      </w:r>
      <w:r>
        <w:rPr>
          <w:rFonts w:hint="eastAsia"/>
          <w:szCs w:val="24"/>
        </w:rPr>
        <w:t>预装≥40个经过临床验证的诊断、治疗、检查方案</w:t>
      </w:r>
    </w:p>
    <w:p w14:paraId="0A2E72DF">
      <w:pPr>
        <w:spacing w:line="360" w:lineRule="auto"/>
        <w:rPr>
          <w:szCs w:val="24"/>
        </w:rPr>
      </w:pPr>
      <w:r>
        <w:rPr>
          <w:rFonts w:hint="eastAsia"/>
          <w:szCs w:val="24"/>
        </w:rPr>
        <w:t>4.</w:t>
      </w:r>
      <w:r>
        <w:rPr>
          <w:rFonts w:hint="eastAsia"/>
          <w:szCs w:val="24"/>
          <w:lang w:val="en-US" w:eastAsia="zh-CN"/>
        </w:rPr>
        <w:t>3</w:t>
      </w:r>
      <w:r>
        <w:rPr>
          <w:rFonts w:hint="eastAsia"/>
          <w:szCs w:val="24"/>
        </w:rPr>
        <w:t>用户开放系统：系统具有用户自开发诊疗方案功能，用户可数字输入自设和修改诊断、治疗、检查方案</w:t>
      </w:r>
    </w:p>
    <w:p w14:paraId="58E172A0">
      <w:pPr>
        <w:spacing w:line="360" w:lineRule="auto"/>
        <w:rPr>
          <w:rFonts w:hint="eastAsia" w:eastAsiaTheme="minorEastAsia"/>
          <w:szCs w:val="24"/>
          <w:lang w:eastAsia="zh-CN"/>
        </w:rPr>
      </w:pPr>
      <w:r>
        <w:rPr>
          <w:rFonts w:hint="eastAsia"/>
          <w:szCs w:val="24"/>
        </w:rPr>
        <w:t>4.</w:t>
      </w:r>
      <w:r>
        <w:rPr>
          <w:rFonts w:hint="eastAsia"/>
          <w:szCs w:val="24"/>
          <w:lang w:val="en-US" w:eastAsia="zh-CN"/>
        </w:rPr>
        <w:t>4</w:t>
      </w:r>
      <w:r>
        <w:rPr>
          <w:rFonts w:hint="eastAsia"/>
          <w:szCs w:val="24"/>
        </w:rPr>
        <w:t>具备眼震数据计算分析研判，包括：眼震的方向、数量、频率、快相速度、慢相速度、持续时间、左右对比、时间常数等量化研判数据</w:t>
      </w:r>
      <w:r>
        <w:rPr>
          <w:rFonts w:hint="eastAsia"/>
          <w:szCs w:val="24"/>
          <w:lang w:eastAsia="zh-CN"/>
        </w:rPr>
        <w:t>。</w:t>
      </w:r>
    </w:p>
    <w:p w14:paraId="031E1B3B">
      <w:pPr>
        <w:spacing w:line="360" w:lineRule="auto"/>
        <w:rPr>
          <w:rFonts w:hint="eastAsia" w:eastAsiaTheme="minorEastAsia"/>
          <w:szCs w:val="24"/>
          <w:lang w:eastAsia="zh-CN"/>
        </w:rPr>
      </w:pPr>
      <w:r>
        <w:rPr>
          <w:rFonts w:hint="eastAsia"/>
          <w:szCs w:val="24"/>
        </w:rPr>
        <w:t>4.</w:t>
      </w:r>
      <w:r>
        <w:rPr>
          <w:rFonts w:hint="eastAsia"/>
          <w:szCs w:val="24"/>
          <w:lang w:val="en-US" w:eastAsia="zh-CN"/>
        </w:rPr>
        <w:t>5</w:t>
      </w:r>
      <w:r>
        <w:rPr>
          <w:rFonts w:hint="eastAsia"/>
          <w:szCs w:val="24"/>
        </w:rPr>
        <w:t>转椅急停试验、速度阶梯试验、正弦摆动试验、正弦谐波试验（SHAT）、阻尼试验可分析相位、增益、对称性等数据和图形</w:t>
      </w:r>
      <w:r>
        <w:rPr>
          <w:rFonts w:hint="eastAsia"/>
          <w:szCs w:val="24"/>
          <w:lang w:eastAsia="zh-CN"/>
        </w:rPr>
        <w:t>。</w:t>
      </w:r>
    </w:p>
    <w:p w14:paraId="3A975F69">
      <w:pPr>
        <w:spacing w:line="360" w:lineRule="auto"/>
        <w:rPr>
          <w:szCs w:val="24"/>
        </w:rPr>
      </w:pPr>
      <w:r>
        <w:rPr>
          <w:rFonts w:hint="eastAsia"/>
          <w:szCs w:val="24"/>
        </w:rPr>
        <w:t>4.</w:t>
      </w:r>
      <w:r>
        <w:rPr>
          <w:rFonts w:hint="eastAsia"/>
          <w:szCs w:val="24"/>
          <w:lang w:val="en-US" w:eastAsia="zh-CN"/>
        </w:rPr>
        <w:t>6</w:t>
      </w:r>
      <w:r>
        <w:rPr>
          <w:rFonts w:hint="eastAsia"/>
          <w:szCs w:val="24"/>
        </w:rPr>
        <w:t>诊断、治疗、检查的全部过程，包括患者基本信息，采用的运动模式，原始数据、视频、眼震曲线均可存档、调研回放、备份</w:t>
      </w:r>
    </w:p>
    <w:p w14:paraId="4D09C96A">
      <w:pPr>
        <w:spacing w:line="360" w:lineRule="auto"/>
        <w:rPr>
          <w:szCs w:val="24"/>
        </w:rPr>
      </w:pPr>
      <w:r>
        <w:rPr>
          <w:rFonts w:hint="eastAsia"/>
          <w:szCs w:val="24"/>
        </w:rPr>
        <w:t>4.</w:t>
      </w:r>
      <w:r>
        <w:rPr>
          <w:rFonts w:hint="eastAsia"/>
          <w:szCs w:val="24"/>
          <w:lang w:val="en-US" w:eastAsia="zh-CN"/>
        </w:rPr>
        <w:t>7</w:t>
      </w:r>
      <w:r>
        <w:rPr>
          <w:rFonts w:hint="eastAsia"/>
          <w:szCs w:val="24"/>
        </w:rPr>
        <w:t>运动轨迹（速度）、体位、耳蜗位置同步显示</w:t>
      </w:r>
    </w:p>
    <w:p w14:paraId="03239DD3">
      <w:pPr>
        <w:spacing w:line="360" w:lineRule="auto"/>
        <w:rPr>
          <w:b/>
          <w:szCs w:val="24"/>
        </w:rPr>
      </w:pPr>
      <w:r>
        <w:rPr>
          <w:rFonts w:hint="eastAsia"/>
          <w:b/>
          <w:szCs w:val="24"/>
        </w:rPr>
        <w:t>五、眼震描记研判：</w:t>
      </w:r>
    </w:p>
    <w:p w14:paraId="3DB055CB">
      <w:pPr>
        <w:spacing w:line="360" w:lineRule="auto"/>
        <w:rPr>
          <w:szCs w:val="24"/>
        </w:rPr>
      </w:pPr>
      <w:r>
        <w:rPr>
          <w:rFonts w:hint="eastAsia" w:asciiTheme="minorEastAsia" w:hAnsiTheme="minorEastAsia"/>
          <w:szCs w:val="24"/>
          <w:lang w:eastAsia="zh-CN"/>
        </w:rPr>
        <w:t>★</w:t>
      </w:r>
      <w:r>
        <w:rPr>
          <w:rFonts w:hint="eastAsia"/>
          <w:szCs w:val="24"/>
        </w:rPr>
        <w:t>5.1具备研判功能：可自动数值计算、分析、研判眼震的慢相速度、快相速度、方向、数量、频率，时间常数。可分析相位、增益及对比数据，可显示、打印对比图及各项数据、结论（提供软件自带诊疗报告单和计算机软件著作权登记证书证明）</w:t>
      </w:r>
    </w:p>
    <w:p w14:paraId="39734EF5">
      <w:pPr>
        <w:spacing w:line="360" w:lineRule="auto"/>
        <w:rPr>
          <w:szCs w:val="24"/>
        </w:rPr>
      </w:pPr>
      <w:r>
        <w:rPr>
          <w:rFonts w:hint="eastAsia"/>
          <w:szCs w:val="24"/>
        </w:rPr>
        <w:t>5.2可分析水平及垂直眼震，可辨别分析旋转型眼震。眼震分析显示标度可调整</w:t>
      </w:r>
    </w:p>
    <w:p w14:paraId="31772BB9">
      <w:pPr>
        <w:spacing w:line="360" w:lineRule="auto"/>
        <w:rPr>
          <w:szCs w:val="24"/>
        </w:rPr>
      </w:pPr>
      <w:r>
        <w:rPr>
          <w:rFonts w:hint="eastAsia"/>
          <w:szCs w:val="24"/>
        </w:rPr>
        <w:t>5.3眼震曲线描记可回放，分析结果、图形均可打印</w:t>
      </w:r>
    </w:p>
    <w:p w14:paraId="04AAC519">
      <w:pPr>
        <w:spacing w:line="360" w:lineRule="auto"/>
        <w:rPr>
          <w:szCs w:val="24"/>
        </w:rPr>
      </w:pPr>
      <w:r>
        <w:rPr>
          <w:rFonts w:hint="eastAsia"/>
          <w:szCs w:val="24"/>
        </w:rPr>
        <w:t>5.4眼震慢相速度分辨率：0.1 度/秒。线性误差〈5%</w:t>
      </w:r>
    </w:p>
    <w:p w14:paraId="2EAF4796">
      <w:pPr>
        <w:spacing w:line="360" w:lineRule="auto"/>
        <w:rPr>
          <w:szCs w:val="24"/>
        </w:rPr>
      </w:pPr>
      <w:r>
        <w:rPr>
          <w:rFonts w:hint="eastAsia"/>
          <w:szCs w:val="24"/>
        </w:rPr>
        <w:t>5.5眼震曲线的显示比例可以任意调整，眼震分析显示标度可调整</w:t>
      </w:r>
    </w:p>
    <w:p w14:paraId="14469F29">
      <w:pPr>
        <w:spacing w:line="360" w:lineRule="auto"/>
        <w:rPr>
          <w:szCs w:val="24"/>
        </w:rPr>
      </w:pPr>
      <w:r>
        <w:rPr>
          <w:rFonts w:hint="eastAsia"/>
          <w:szCs w:val="24"/>
        </w:rPr>
        <w:t>5.6眼部视频</w:t>
      </w:r>
      <w:r>
        <w:rPr>
          <w:rFonts w:hint="eastAsia" w:asciiTheme="minorEastAsia" w:hAnsiTheme="minorEastAsia"/>
          <w:sz w:val="24"/>
          <w:szCs w:val="24"/>
        </w:rPr>
        <w:t>、</w:t>
      </w:r>
      <w:r>
        <w:rPr>
          <w:rFonts w:hint="eastAsia"/>
          <w:szCs w:val="24"/>
        </w:rPr>
        <w:t>眼震曲线、体位曲线、半规管耳蜗位置图、座椅体位图同步显示，调研回放时可精准研判</w:t>
      </w:r>
    </w:p>
    <w:p w14:paraId="66F8D853">
      <w:pPr>
        <w:spacing w:line="360" w:lineRule="auto"/>
        <w:rPr>
          <w:b/>
          <w:szCs w:val="24"/>
        </w:rPr>
      </w:pPr>
      <w:r>
        <w:rPr>
          <w:rFonts w:hint="eastAsia"/>
          <w:b/>
          <w:szCs w:val="24"/>
        </w:rPr>
        <w:t>六、运动控制：</w:t>
      </w:r>
    </w:p>
    <w:p w14:paraId="253DE69C">
      <w:pPr>
        <w:spacing w:line="360" w:lineRule="auto"/>
        <w:rPr>
          <w:szCs w:val="24"/>
        </w:rPr>
      </w:pPr>
      <w:r>
        <w:rPr>
          <w:rFonts w:hint="eastAsia"/>
          <w:szCs w:val="24"/>
        </w:rPr>
        <w:t>6.1主轴和辅轴可两轴三维联动运行</w:t>
      </w:r>
    </w:p>
    <w:p w14:paraId="446FA586">
      <w:pPr>
        <w:spacing w:line="440" w:lineRule="exact"/>
        <w:rPr>
          <w:szCs w:val="24"/>
        </w:rPr>
      </w:pPr>
      <w:r>
        <w:rPr>
          <w:rFonts w:hint="eastAsia"/>
          <w:szCs w:val="24"/>
        </w:rPr>
        <w:t>6.2角度模式：控制转椅转动一定角度，方向、角度、时间、加减速度均可数字输入控制，用于B</w:t>
      </w:r>
      <w:r>
        <w:rPr>
          <w:szCs w:val="24"/>
        </w:rPr>
        <w:t>PPV</w:t>
      </w:r>
      <w:r>
        <w:rPr>
          <w:rFonts w:hint="eastAsia"/>
          <w:szCs w:val="24"/>
        </w:rPr>
        <w:t>的检查和治疗</w:t>
      </w:r>
    </w:p>
    <w:p w14:paraId="1870D5B3">
      <w:pPr>
        <w:spacing w:line="360" w:lineRule="auto"/>
        <w:rPr>
          <w:szCs w:val="24"/>
        </w:rPr>
      </w:pPr>
      <w:r>
        <w:rPr>
          <w:rFonts w:hint="eastAsia"/>
          <w:szCs w:val="24"/>
        </w:rPr>
        <w:t>6.3速度模式：控制转椅转动到一定速度再减速到静止，方向、加速度、最大速度、转动时间、加减速度均可数字输入控制，用于前庭功能检查和前庭康复训练</w:t>
      </w:r>
    </w:p>
    <w:p w14:paraId="72C05401">
      <w:pPr>
        <w:spacing w:line="440" w:lineRule="exact"/>
        <w:rPr>
          <w:szCs w:val="24"/>
        </w:rPr>
      </w:pPr>
      <w:r>
        <w:rPr>
          <w:rFonts w:hint="eastAsia"/>
          <w:szCs w:val="24"/>
        </w:rPr>
        <w:t>6.4正旋摆动模式：正弦谐波试验（SHAT），阻尼试验等。方向、角度、振幅、次数、摆动时间、摆动频率、加减速度均可数字输入控制，用于中枢性与外周性眩晕的鉴别和前庭功能检查</w:t>
      </w:r>
    </w:p>
    <w:p w14:paraId="4A634D23">
      <w:pPr>
        <w:spacing w:line="360" w:lineRule="auto"/>
        <w:rPr>
          <w:b/>
          <w:szCs w:val="24"/>
        </w:rPr>
      </w:pPr>
      <w:r>
        <w:rPr>
          <w:rFonts w:hint="eastAsia"/>
          <w:b/>
          <w:szCs w:val="24"/>
        </w:rPr>
        <w:t>七、安全应急装置：</w:t>
      </w:r>
    </w:p>
    <w:p w14:paraId="3A4BA211">
      <w:pPr>
        <w:spacing w:line="360" w:lineRule="auto"/>
        <w:rPr>
          <w:szCs w:val="24"/>
        </w:rPr>
      </w:pPr>
      <w:r>
        <w:rPr>
          <w:rFonts w:hint="eastAsia"/>
          <w:szCs w:val="24"/>
        </w:rPr>
        <w:t>7.1指示灯：3 个双色指示灯，实时指示系统各部分状态</w:t>
      </w:r>
    </w:p>
    <w:p w14:paraId="67700316">
      <w:pPr>
        <w:spacing w:line="360" w:lineRule="auto"/>
        <w:rPr>
          <w:szCs w:val="24"/>
        </w:rPr>
      </w:pPr>
      <w:r>
        <w:rPr>
          <w:rFonts w:hint="eastAsia" w:asciiTheme="minorEastAsia" w:hAnsiTheme="minorEastAsia"/>
          <w:szCs w:val="24"/>
          <w:lang w:eastAsia="zh-CN"/>
        </w:rPr>
        <w:t>★</w:t>
      </w:r>
      <w:r>
        <w:rPr>
          <w:rFonts w:hint="eastAsia"/>
          <w:szCs w:val="24"/>
        </w:rPr>
        <w:t>7.2具备急停自动感应触发开关（非脚踏；按钮等直接接触装置），设备转动时，如有外来物体进入诊疗台区域，自动启动触发开关，使设备立即停止转动，恢复到初始状态（提供检验报告证明）</w:t>
      </w:r>
    </w:p>
    <w:p w14:paraId="70F15D17">
      <w:pPr>
        <w:spacing w:line="360" w:lineRule="auto"/>
        <w:rPr>
          <w:szCs w:val="24"/>
        </w:rPr>
      </w:pPr>
      <w:r>
        <w:rPr>
          <w:rFonts w:hint="eastAsia"/>
          <w:szCs w:val="24"/>
        </w:rPr>
        <w:t>7.3主轴自锁功能</w:t>
      </w:r>
    </w:p>
    <w:p w14:paraId="295E06CF">
      <w:pPr>
        <w:spacing w:line="360" w:lineRule="auto"/>
        <w:rPr>
          <w:szCs w:val="24"/>
        </w:rPr>
      </w:pPr>
      <w:r>
        <w:rPr>
          <w:rFonts w:hint="eastAsia"/>
          <w:szCs w:val="24"/>
        </w:rPr>
        <w:t>7.4安全杠手动按钮</w:t>
      </w:r>
    </w:p>
    <w:p w14:paraId="2DB2B07E">
      <w:pPr>
        <w:spacing w:line="360" w:lineRule="auto"/>
        <w:rPr>
          <w:szCs w:val="24"/>
        </w:rPr>
      </w:pPr>
      <w:r>
        <w:rPr>
          <w:rFonts w:hint="eastAsia"/>
          <w:szCs w:val="24"/>
        </w:rPr>
        <w:t>7.5主辅回位自动和手动开关</w:t>
      </w:r>
    </w:p>
    <w:p w14:paraId="5F563513">
      <w:pPr>
        <w:spacing w:line="360" w:lineRule="auto"/>
        <w:rPr>
          <w:b/>
          <w:szCs w:val="24"/>
        </w:rPr>
      </w:pPr>
      <w:r>
        <w:rPr>
          <w:rFonts w:hint="eastAsia"/>
          <w:b/>
          <w:szCs w:val="24"/>
        </w:rPr>
        <w:t>八、供电：</w:t>
      </w:r>
    </w:p>
    <w:p w14:paraId="316D1CDC">
      <w:pPr>
        <w:spacing w:line="360" w:lineRule="auto"/>
        <w:rPr>
          <w:szCs w:val="24"/>
        </w:rPr>
      </w:pPr>
      <w:r>
        <w:rPr>
          <w:rFonts w:hint="eastAsia" w:asciiTheme="minorEastAsia" w:hAnsiTheme="minorEastAsia"/>
          <w:szCs w:val="24"/>
          <w:lang w:eastAsia="zh-CN"/>
        </w:rPr>
        <w:t>★</w:t>
      </w:r>
      <w:r>
        <w:rPr>
          <w:rFonts w:hint="eastAsia"/>
          <w:szCs w:val="24"/>
        </w:rPr>
        <w:t>8.1AC220V，50Hz, ≤15A，无需经过变压转换与改造（提供检验报告）</w:t>
      </w:r>
    </w:p>
    <w:p w14:paraId="55CF8941">
      <w:pPr>
        <w:spacing w:line="360" w:lineRule="auto"/>
        <w:rPr>
          <w:szCs w:val="24"/>
        </w:rPr>
      </w:pPr>
      <w:r>
        <w:rPr>
          <w:rFonts w:hint="eastAsia"/>
          <w:szCs w:val="24"/>
        </w:rPr>
        <w:t>8.2</w:t>
      </w:r>
      <w:r>
        <w:rPr>
          <w:rFonts w:hint="eastAsia"/>
          <w:szCs w:val="24"/>
          <w:lang w:val="en-US" w:eastAsia="zh-CN"/>
        </w:rPr>
        <w:t>配</w:t>
      </w:r>
      <w:r>
        <w:rPr>
          <w:rFonts w:hint="eastAsia"/>
          <w:szCs w:val="24"/>
        </w:rPr>
        <w:t>备UPS不间断电源对整机供电，整机（主机和工作站）工作供电时间不少于30分钟（提供配置单证明）</w:t>
      </w:r>
    </w:p>
    <w:p w14:paraId="70B2D2DA">
      <w:pPr>
        <w:spacing w:line="360" w:lineRule="auto"/>
        <w:rPr>
          <w:b/>
          <w:szCs w:val="24"/>
        </w:rPr>
      </w:pPr>
      <w:r>
        <w:rPr>
          <w:rFonts w:hint="eastAsia"/>
          <w:b/>
          <w:szCs w:val="24"/>
        </w:rPr>
        <w:t>九、安装条件：</w:t>
      </w:r>
    </w:p>
    <w:p w14:paraId="3A739449">
      <w:pPr>
        <w:spacing w:line="360" w:lineRule="auto"/>
        <w:rPr>
          <w:szCs w:val="24"/>
        </w:rPr>
      </w:pPr>
      <w:r>
        <w:rPr>
          <w:rFonts w:hint="eastAsia"/>
          <w:szCs w:val="24"/>
        </w:rPr>
        <w:t>9.1无特殊场地和用电要求，与国家建筑物承重要求和配电（220V）兼容。无放射、无排污</w:t>
      </w:r>
    </w:p>
    <w:p w14:paraId="63EDBF18">
      <w:pPr>
        <w:spacing w:line="360" w:lineRule="auto"/>
        <w:rPr>
          <w:b/>
          <w:szCs w:val="24"/>
        </w:rPr>
      </w:pPr>
      <w:r>
        <w:rPr>
          <w:rFonts w:hint="eastAsia"/>
          <w:b/>
          <w:szCs w:val="24"/>
        </w:rPr>
        <w:t>十、培训：</w:t>
      </w:r>
    </w:p>
    <w:p w14:paraId="2F96CA3F">
      <w:pPr>
        <w:spacing w:line="360" w:lineRule="auto"/>
        <w:rPr>
          <w:szCs w:val="24"/>
        </w:rPr>
      </w:pPr>
      <w:r>
        <w:rPr>
          <w:rFonts w:hint="eastAsia"/>
          <w:szCs w:val="24"/>
        </w:rPr>
        <w:t>10.1除采购地的现场培训外，在</w:t>
      </w:r>
      <w:r>
        <w:rPr>
          <w:rFonts w:hint="eastAsia"/>
          <w:szCs w:val="24"/>
          <w:lang w:val="en-US" w:eastAsia="zh-CN"/>
        </w:rPr>
        <w:t>国内三级及以上医院的眩晕中心</w:t>
      </w:r>
      <w:r>
        <w:rPr>
          <w:rFonts w:hint="eastAsia"/>
          <w:szCs w:val="24"/>
        </w:rPr>
        <w:t>进行进修培训</w:t>
      </w:r>
    </w:p>
    <w:p w14:paraId="604F57D9">
      <w:pPr>
        <w:spacing w:line="360" w:lineRule="auto"/>
        <w:rPr>
          <w:b/>
          <w:szCs w:val="24"/>
        </w:rPr>
      </w:pPr>
      <w:r>
        <w:rPr>
          <w:rFonts w:hint="eastAsia"/>
          <w:b/>
          <w:szCs w:val="24"/>
        </w:rPr>
        <w:t>十一、设备成熟度：</w:t>
      </w:r>
    </w:p>
    <w:p w14:paraId="05627817">
      <w:pPr>
        <w:spacing w:line="360" w:lineRule="auto"/>
        <w:rPr>
          <w:rFonts w:hint="eastAsia"/>
          <w:szCs w:val="24"/>
        </w:rPr>
      </w:pPr>
      <w:r>
        <w:rPr>
          <w:rFonts w:hint="eastAsia"/>
          <w:szCs w:val="24"/>
        </w:rPr>
        <w:t>11.1具备国内眩晕医学专家的学术和临床支持</w:t>
      </w:r>
    </w:p>
    <w:p w14:paraId="65A9D9E5">
      <w:pPr>
        <w:spacing w:line="360" w:lineRule="auto"/>
        <w:rPr>
          <w:rFonts w:hint="eastAsia" w:eastAsiaTheme="minorEastAsia"/>
          <w:szCs w:val="24"/>
          <w:lang w:eastAsia="zh-CN"/>
        </w:rPr>
      </w:pPr>
      <w:r>
        <w:rPr>
          <w:rFonts w:hint="eastAsia"/>
          <w:szCs w:val="24"/>
          <w:lang w:eastAsia="zh-CN"/>
        </w:rPr>
        <w:t>十二、</w:t>
      </w:r>
      <w:r>
        <w:rPr>
          <w:rFonts w:hint="eastAsia"/>
          <w:szCs w:val="24"/>
        </w:rPr>
        <w:t>2023年12月1日后生产的（以生产日期为准）全新的、未使用过的原装合格正品（不接受组装机）</w:t>
      </w:r>
      <w:r>
        <w:rPr>
          <w:rFonts w:hint="eastAsia"/>
          <w:szCs w:val="24"/>
          <w:lang w:eastAsia="zh-CN"/>
        </w:rPr>
        <w:t>。</w:t>
      </w:r>
      <w:bookmarkStart w:id="1" w:name="_GoBack"/>
      <w:bookmarkEnd w:id="1"/>
    </w:p>
    <w:p w14:paraId="204F99C7">
      <w:pPr>
        <w:spacing w:line="360" w:lineRule="auto"/>
        <w:rPr>
          <w:szCs w:val="24"/>
        </w:rPr>
      </w:pPr>
    </w:p>
    <w:p w14:paraId="7673EA9B">
      <w:pPr>
        <w:spacing w:line="440" w:lineRule="exact"/>
        <w:jc w:val="center"/>
        <w:rPr>
          <w:szCs w:val="24"/>
        </w:rPr>
      </w:pPr>
      <w:r>
        <w:rPr>
          <w:rFonts w:hint="eastAsia"/>
          <w:szCs w:val="24"/>
        </w:rPr>
        <w:t>标准配置单</w:t>
      </w:r>
    </w:p>
    <w:tbl>
      <w:tblPr>
        <w:tblStyle w:val="4"/>
        <w:tblW w:w="88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5"/>
        <w:gridCol w:w="2268"/>
        <w:gridCol w:w="993"/>
        <w:gridCol w:w="4766"/>
      </w:tblGrid>
      <w:tr w14:paraId="1C3D6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5" w:type="dxa"/>
          </w:tcPr>
          <w:p w14:paraId="30BB0FE6">
            <w:pPr>
              <w:spacing w:line="480" w:lineRule="exact"/>
              <w:jc w:val="left"/>
              <w:rPr>
                <w:rFonts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>序号</w:t>
            </w:r>
          </w:p>
        </w:tc>
        <w:tc>
          <w:tcPr>
            <w:tcW w:w="2268" w:type="dxa"/>
          </w:tcPr>
          <w:p w14:paraId="016A163E">
            <w:pPr>
              <w:spacing w:line="480" w:lineRule="exact"/>
              <w:jc w:val="left"/>
              <w:rPr>
                <w:rFonts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>名称</w:t>
            </w:r>
          </w:p>
        </w:tc>
        <w:tc>
          <w:tcPr>
            <w:tcW w:w="993" w:type="dxa"/>
          </w:tcPr>
          <w:p w14:paraId="5A208CEA">
            <w:pPr>
              <w:spacing w:line="480" w:lineRule="exact"/>
              <w:jc w:val="left"/>
              <w:rPr>
                <w:rFonts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>数量</w:t>
            </w:r>
          </w:p>
        </w:tc>
        <w:tc>
          <w:tcPr>
            <w:tcW w:w="4766" w:type="dxa"/>
          </w:tcPr>
          <w:p w14:paraId="0E42ACC1">
            <w:pPr>
              <w:spacing w:line="480" w:lineRule="exact"/>
              <w:jc w:val="left"/>
              <w:rPr>
                <w:rFonts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>规格</w:t>
            </w:r>
          </w:p>
        </w:tc>
      </w:tr>
      <w:tr w14:paraId="2BCA1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5" w:type="dxa"/>
          </w:tcPr>
          <w:p w14:paraId="5E9AEA82">
            <w:pPr>
              <w:spacing w:line="480" w:lineRule="exact"/>
              <w:jc w:val="left"/>
              <w:rPr>
                <w:rFonts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>1</w:t>
            </w:r>
          </w:p>
        </w:tc>
        <w:tc>
          <w:tcPr>
            <w:tcW w:w="2268" w:type="dxa"/>
          </w:tcPr>
          <w:p w14:paraId="1445C3F2">
            <w:pPr>
              <w:spacing w:line="480" w:lineRule="exact"/>
              <w:jc w:val="left"/>
              <w:rPr>
                <w:rFonts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>主机</w:t>
            </w:r>
          </w:p>
        </w:tc>
        <w:tc>
          <w:tcPr>
            <w:tcW w:w="993" w:type="dxa"/>
          </w:tcPr>
          <w:p w14:paraId="36D79119">
            <w:pPr>
              <w:spacing w:line="480" w:lineRule="exact"/>
              <w:jc w:val="left"/>
              <w:rPr>
                <w:rFonts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>1台</w:t>
            </w:r>
          </w:p>
        </w:tc>
        <w:tc>
          <w:tcPr>
            <w:tcW w:w="4766" w:type="dxa"/>
          </w:tcPr>
          <w:p w14:paraId="0663CEE0">
            <w:pPr>
              <w:spacing w:line="480" w:lineRule="exact"/>
              <w:jc w:val="left"/>
              <w:rPr>
                <w:rFonts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/>
                <w:szCs w:val="24"/>
              </w:rPr>
              <w:t>≥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>2.4</w:t>
            </w:r>
            <w:r>
              <w:rPr>
                <w:rFonts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>m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>×2</w:t>
            </w:r>
            <w:r>
              <w:rPr>
                <w:rFonts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>m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 xml:space="preserve">×2m </w:t>
            </w:r>
          </w:p>
        </w:tc>
      </w:tr>
      <w:tr w14:paraId="06389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5" w:type="dxa"/>
          </w:tcPr>
          <w:p w14:paraId="278EB5D2">
            <w:pPr>
              <w:spacing w:line="480" w:lineRule="exact"/>
              <w:jc w:val="left"/>
              <w:rPr>
                <w:rFonts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>2</w:t>
            </w:r>
          </w:p>
        </w:tc>
        <w:tc>
          <w:tcPr>
            <w:tcW w:w="8027" w:type="dxa"/>
            <w:gridSpan w:val="3"/>
          </w:tcPr>
          <w:p w14:paraId="4C0D5B84">
            <w:pPr>
              <w:spacing w:line="480" w:lineRule="exact"/>
              <w:jc w:val="left"/>
              <w:rPr>
                <w:rFonts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>控制台</w:t>
            </w:r>
          </w:p>
        </w:tc>
      </w:tr>
      <w:tr w14:paraId="7B7FB0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5" w:type="dxa"/>
            <w:vMerge w:val="restart"/>
          </w:tcPr>
          <w:p w14:paraId="601F975F">
            <w:pPr>
              <w:spacing w:line="480" w:lineRule="exact"/>
              <w:jc w:val="left"/>
              <w:rPr>
                <w:rFonts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2268" w:type="dxa"/>
          </w:tcPr>
          <w:p w14:paraId="04749AE3">
            <w:pPr>
              <w:spacing w:line="480" w:lineRule="exact"/>
              <w:jc w:val="left"/>
              <w:rPr>
                <w:rFonts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>微型计算机</w:t>
            </w:r>
          </w:p>
        </w:tc>
        <w:tc>
          <w:tcPr>
            <w:tcW w:w="993" w:type="dxa"/>
          </w:tcPr>
          <w:p w14:paraId="4537A155">
            <w:pPr>
              <w:spacing w:line="480" w:lineRule="exact"/>
              <w:jc w:val="left"/>
              <w:rPr>
                <w:rFonts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>1台</w:t>
            </w:r>
          </w:p>
        </w:tc>
        <w:tc>
          <w:tcPr>
            <w:tcW w:w="4766" w:type="dxa"/>
          </w:tcPr>
          <w:p w14:paraId="450D1570">
            <w:pPr>
              <w:spacing w:line="480" w:lineRule="exact"/>
              <w:jc w:val="left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bookmarkStart w:id="0" w:name="OLE_LINK1"/>
            <w:r>
              <w:rPr>
                <w:rFonts w:hint="eastAsia" w:asciiTheme="minorEastAsia" w:hAnsiTheme="minorEastAsia" w:cstheme="minorEastAsia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主流品牌、主流型号</w:t>
            </w:r>
            <w:bookmarkEnd w:id="0"/>
          </w:p>
        </w:tc>
      </w:tr>
      <w:tr w14:paraId="5D602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5" w:type="dxa"/>
            <w:vMerge w:val="continue"/>
          </w:tcPr>
          <w:p w14:paraId="7F92F577">
            <w:pPr>
              <w:spacing w:line="480" w:lineRule="exact"/>
              <w:jc w:val="left"/>
              <w:rPr>
                <w:rFonts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2268" w:type="dxa"/>
          </w:tcPr>
          <w:p w14:paraId="199987FA">
            <w:pPr>
              <w:spacing w:line="480" w:lineRule="exact"/>
              <w:jc w:val="left"/>
              <w:rPr>
                <w:rFonts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>激光打印机</w:t>
            </w:r>
          </w:p>
        </w:tc>
        <w:tc>
          <w:tcPr>
            <w:tcW w:w="993" w:type="dxa"/>
          </w:tcPr>
          <w:p w14:paraId="6EACB97C">
            <w:pPr>
              <w:spacing w:line="480" w:lineRule="exact"/>
              <w:jc w:val="left"/>
              <w:rPr>
                <w:rFonts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>1台</w:t>
            </w:r>
          </w:p>
        </w:tc>
        <w:tc>
          <w:tcPr>
            <w:tcW w:w="4766" w:type="dxa"/>
          </w:tcPr>
          <w:p w14:paraId="60E15BD0">
            <w:pPr>
              <w:spacing w:line="480" w:lineRule="exact"/>
              <w:jc w:val="left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主流品牌、主流型号</w:t>
            </w:r>
          </w:p>
        </w:tc>
      </w:tr>
      <w:tr w14:paraId="553F1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5" w:type="dxa"/>
            <w:vMerge w:val="continue"/>
          </w:tcPr>
          <w:p w14:paraId="1BEEA952">
            <w:pPr>
              <w:spacing w:line="480" w:lineRule="exact"/>
              <w:jc w:val="left"/>
              <w:rPr>
                <w:rFonts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2268" w:type="dxa"/>
          </w:tcPr>
          <w:p w14:paraId="5A8FB92B">
            <w:pPr>
              <w:spacing w:line="480" w:lineRule="exact"/>
              <w:jc w:val="left"/>
              <w:rPr>
                <w:rFonts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>液晶显示器</w:t>
            </w:r>
          </w:p>
        </w:tc>
        <w:tc>
          <w:tcPr>
            <w:tcW w:w="993" w:type="dxa"/>
          </w:tcPr>
          <w:p w14:paraId="751EB64E">
            <w:pPr>
              <w:spacing w:line="480" w:lineRule="exact"/>
              <w:jc w:val="left"/>
              <w:rPr>
                <w:rFonts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>2台</w:t>
            </w:r>
          </w:p>
        </w:tc>
        <w:tc>
          <w:tcPr>
            <w:tcW w:w="4766" w:type="dxa"/>
          </w:tcPr>
          <w:p w14:paraId="3C1182E5">
            <w:pPr>
              <w:spacing w:line="480" w:lineRule="exact"/>
              <w:jc w:val="left"/>
              <w:rPr>
                <w:rFonts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主流品牌、主流型号</w:t>
            </w:r>
          </w:p>
        </w:tc>
      </w:tr>
      <w:tr w14:paraId="7CD7F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5" w:type="dxa"/>
            <w:vMerge w:val="continue"/>
          </w:tcPr>
          <w:p w14:paraId="552BC2B1">
            <w:pPr>
              <w:spacing w:line="480" w:lineRule="exact"/>
              <w:jc w:val="left"/>
              <w:rPr>
                <w:rFonts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2268" w:type="dxa"/>
          </w:tcPr>
          <w:p w14:paraId="34FE03A0">
            <w:pPr>
              <w:spacing w:line="480" w:lineRule="exact"/>
              <w:jc w:val="left"/>
              <w:rPr>
                <w:rFonts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>不间断电源</w:t>
            </w:r>
          </w:p>
        </w:tc>
        <w:tc>
          <w:tcPr>
            <w:tcW w:w="993" w:type="dxa"/>
          </w:tcPr>
          <w:p w14:paraId="704CB01A">
            <w:pPr>
              <w:spacing w:line="480" w:lineRule="exact"/>
              <w:jc w:val="left"/>
              <w:rPr>
                <w:rFonts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>1台</w:t>
            </w:r>
          </w:p>
        </w:tc>
        <w:tc>
          <w:tcPr>
            <w:tcW w:w="4766" w:type="dxa"/>
          </w:tcPr>
          <w:p w14:paraId="3B9F21FD">
            <w:pPr>
              <w:spacing w:line="480" w:lineRule="exact"/>
              <w:jc w:val="left"/>
              <w:rPr>
                <w:rFonts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主流品牌、主流型号</w:t>
            </w:r>
          </w:p>
        </w:tc>
      </w:tr>
      <w:tr w14:paraId="6B31C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5" w:type="dxa"/>
          </w:tcPr>
          <w:p w14:paraId="447EA5A3">
            <w:pPr>
              <w:spacing w:line="480" w:lineRule="exact"/>
              <w:jc w:val="left"/>
              <w:rPr>
                <w:rFonts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>3</w:t>
            </w:r>
          </w:p>
        </w:tc>
        <w:tc>
          <w:tcPr>
            <w:tcW w:w="2268" w:type="dxa"/>
          </w:tcPr>
          <w:p w14:paraId="52A161A2">
            <w:pPr>
              <w:spacing w:line="480" w:lineRule="exact"/>
              <w:jc w:val="left"/>
              <w:rPr>
                <w:rFonts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>眼罩</w:t>
            </w:r>
          </w:p>
        </w:tc>
        <w:tc>
          <w:tcPr>
            <w:tcW w:w="993" w:type="dxa"/>
          </w:tcPr>
          <w:p w14:paraId="4FABB5FC">
            <w:pPr>
              <w:spacing w:line="480" w:lineRule="exact"/>
              <w:jc w:val="left"/>
              <w:rPr>
                <w:rFonts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>1部</w:t>
            </w:r>
          </w:p>
        </w:tc>
        <w:tc>
          <w:tcPr>
            <w:tcW w:w="4766" w:type="dxa"/>
          </w:tcPr>
          <w:p w14:paraId="4AA3A1D8">
            <w:pPr>
              <w:spacing w:line="480" w:lineRule="exact"/>
              <w:jc w:val="left"/>
              <w:rPr>
                <w:rFonts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>红外高清双摄，支持左右切换</w:t>
            </w:r>
          </w:p>
        </w:tc>
      </w:tr>
      <w:tr w14:paraId="698E4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5" w:type="dxa"/>
          </w:tcPr>
          <w:p w14:paraId="597AE2D8">
            <w:pPr>
              <w:spacing w:line="480" w:lineRule="exact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268" w:type="dxa"/>
          </w:tcPr>
          <w:p w14:paraId="326757B0">
            <w:pPr>
              <w:spacing w:line="480" w:lineRule="exact"/>
              <w:jc w:val="left"/>
              <w:rPr>
                <w:rFonts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>使用维护说明书</w:t>
            </w:r>
          </w:p>
        </w:tc>
        <w:tc>
          <w:tcPr>
            <w:tcW w:w="993" w:type="dxa"/>
          </w:tcPr>
          <w:p w14:paraId="7752CD30">
            <w:pPr>
              <w:spacing w:line="480" w:lineRule="exact"/>
              <w:jc w:val="left"/>
              <w:rPr>
                <w:rFonts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>1本</w:t>
            </w:r>
          </w:p>
        </w:tc>
        <w:tc>
          <w:tcPr>
            <w:tcW w:w="4766" w:type="dxa"/>
          </w:tcPr>
          <w:p w14:paraId="5D36A119">
            <w:pPr>
              <w:spacing w:line="480" w:lineRule="exact"/>
              <w:jc w:val="left"/>
              <w:rPr>
                <w:rFonts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>最新版</w:t>
            </w:r>
          </w:p>
        </w:tc>
      </w:tr>
      <w:tr w14:paraId="43AE6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5" w:type="dxa"/>
          </w:tcPr>
          <w:p w14:paraId="5A92FF22">
            <w:pPr>
              <w:spacing w:line="480" w:lineRule="exact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2268" w:type="dxa"/>
          </w:tcPr>
          <w:p w14:paraId="76EE48CC">
            <w:pPr>
              <w:spacing w:line="480" w:lineRule="exact"/>
              <w:jc w:val="left"/>
              <w:rPr>
                <w:rFonts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>合格证</w:t>
            </w:r>
          </w:p>
        </w:tc>
        <w:tc>
          <w:tcPr>
            <w:tcW w:w="993" w:type="dxa"/>
          </w:tcPr>
          <w:p w14:paraId="017610FC">
            <w:pPr>
              <w:spacing w:line="480" w:lineRule="exact"/>
              <w:jc w:val="left"/>
              <w:rPr>
                <w:rFonts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>1张</w:t>
            </w:r>
          </w:p>
        </w:tc>
        <w:tc>
          <w:tcPr>
            <w:tcW w:w="4766" w:type="dxa"/>
          </w:tcPr>
          <w:p w14:paraId="4C1D4356">
            <w:pPr>
              <w:spacing w:line="480" w:lineRule="exact"/>
              <w:jc w:val="left"/>
              <w:rPr>
                <w:rFonts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>——</w:t>
            </w:r>
          </w:p>
        </w:tc>
      </w:tr>
      <w:tr w14:paraId="04FCC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5" w:type="dxa"/>
          </w:tcPr>
          <w:p w14:paraId="339B300B">
            <w:pPr>
              <w:spacing w:line="480" w:lineRule="exact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2268" w:type="dxa"/>
          </w:tcPr>
          <w:p w14:paraId="6919122F">
            <w:pPr>
              <w:spacing w:line="480" w:lineRule="exact"/>
              <w:jc w:val="left"/>
              <w:rPr>
                <w:rFonts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>保修单</w:t>
            </w:r>
          </w:p>
        </w:tc>
        <w:tc>
          <w:tcPr>
            <w:tcW w:w="993" w:type="dxa"/>
          </w:tcPr>
          <w:p w14:paraId="133DC2DE">
            <w:pPr>
              <w:spacing w:line="480" w:lineRule="exact"/>
              <w:jc w:val="left"/>
              <w:rPr>
                <w:rFonts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>1份</w:t>
            </w:r>
          </w:p>
        </w:tc>
        <w:tc>
          <w:tcPr>
            <w:tcW w:w="4766" w:type="dxa"/>
          </w:tcPr>
          <w:p w14:paraId="78B841A5">
            <w:pPr>
              <w:spacing w:line="480" w:lineRule="exact"/>
              <w:jc w:val="left"/>
              <w:rPr>
                <w:rFonts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>——</w:t>
            </w:r>
          </w:p>
        </w:tc>
      </w:tr>
      <w:tr w14:paraId="5E78B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5" w:type="dxa"/>
          </w:tcPr>
          <w:p w14:paraId="0003CEE1">
            <w:pPr>
              <w:spacing w:line="480" w:lineRule="exact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268" w:type="dxa"/>
          </w:tcPr>
          <w:p w14:paraId="6C754D10">
            <w:pPr>
              <w:spacing w:line="480" w:lineRule="exact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>眼罩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海绵</w:t>
            </w:r>
          </w:p>
        </w:tc>
        <w:tc>
          <w:tcPr>
            <w:tcW w:w="993" w:type="dxa"/>
          </w:tcPr>
          <w:p w14:paraId="0A1C379B">
            <w:pPr>
              <w:spacing w:line="480" w:lineRule="exact"/>
              <w:jc w:val="left"/>
              <w:rPr>
                <w:rFonts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>100个</w:t>
            </w:r>
          </w:p>
        </w:tc>
        <w:tc>
          <w:tcPr>
            <w:tcW w:w="4766" w:type="dxa"/>
          </w:tcPr>
          <w:p w14:paraId="0567A963">
            <w:pPr>
              <w:spacing w:line="480" w:lineRule="exact"/>
              <w:jc w:val="left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>——</w:t>
            </w:r>
          </w:p>
        </w:tc>
      </w:tr>
      <w:tr w14:paraId="55FC9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5" w:type="dxa"/>
          </w:tcPr>
          <w:p w14:paraId="4FCF86C9">
            <w:pPr>
              <w:spacing w:line="480" w:lineRule="exact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2268" w:type="dxa"/>
          </w:tcPr>
          <w:p w14:paraId="6D1C101F">
            <w:pPr>
              <w:spacing w:line="480" w:lineRule="exact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头垫海绵</w:t>
            </w:r>
          </w:p>
        </w:tc>
        <w:tc>
          <w:tcPr>
            <w:tcW w:w="993" w:type="dxa"/>
          </w:tcPr>
          <w:p w14:paraId="6A4BE4C1">
            <w:pPr>
              <w:spacing w:line="480" w:lineRule="exact"/>
              <w:jc w:val="left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50个</w:t>
            </w:r>
          </w:p>
        </w:tc>
        <w:tc>
          <w:tcPr>
            <w:tcW w:w="4766" w:type="dxa"/>
          </w:tcPr>
          <w:p w14:paraId="48321E77">
            <w:pPr>
              <w:spacing w:line="480" w:lineRule="exact"/>
              <w:jc w:val="left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厚</w:t>
            </w:r>
            <w:r>
              <w:rPr>
                <w:rFonts w:hint="eastAsia"/>
                <w:szCs w:val="24"/>
              </w:rPr>
              <w:t>≥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5cm</w:t>
            </w:r>
          </w:p>
        </w:tc>
      </w:tr>
      <w:tr w14:paraId="02C09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5" w:type="dxa"/>
          </w:tcPr>
          <w:p w14:paraId="3A454F50">
            <w:pPr>
              <w:spacing w:line="480" w:lineRule="exact"/>
              <w:jc w:val="left"/>
              <w:rPr>
                <w:rFonts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>9</w:t>
            </w:r>
          </w:p>
        </w:tc>
        <w:tc>
          <w:tcPr>
            <w:tcW w:w="2268" w:type="dxa"/>
          </w:tcPr>
          <w:p w14:paraId="38B0461E">
            <w:pPr>
              <w:spacing w:line="480" w:lineRule="exact"/>
              <w:jc w:val="left"/>
              <w:rPr>
                <w:rFonts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>儿童座椅</w:t>
            </w:r>
          </w:p>
        </w:tc>
        <w:tc>
          <w:tcPr>
            <w:tcW w:w="993" w:type="dxa"/>
          </w:tcPr>
          <w:p w14:paraId="70850DDB">
            <w:pPr>
              <w:spacing w:line="480" w:lineRule="exact"/>
              <w:jc w:val="left"/>
              <w:rPr>
                <w:rFonts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>1台</w:t>
            </w:r>
          </w:p>
        </w:tc>
        <w:tc>
          <w:tcPr>
            <w:tcW w:w="4766" w:type="dxa"/>
          </w:tcPr>
          <w:p w14:paraId="18904E87">
            <w:pPr>
              <w:spacing w:line="480" w:lineRule="exact"/>
              <w:jc w:val="left"/>
              <w:rPr>
                <w:rFonts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>厚</w:t>
            </w:r>
            <w:r>
              <w:rPr>
                <w:rFonts w:hint="eastAsia"/>
                <w:szCs w:val="24"/>
              </w:rPr>
              <w:t>≥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>16cm</w:t>
            </w:r>
          </w:p>
        </w:tc>
      </w:tr>
      <w:tr w14:paraId="41A2DF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5" w:type="dxa"/>
          </w:tcPr>
          <w:p w14:paraId="30B75A70">
            <w:pPr>
              <w:spacing w:line="480" w:lineRule="exact"/>
              <w:jc w:val="left"/>
              <w:rPr>
                <w:rFonts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>10</w:t>
            </w:r>
          </w:p>
        </w:tc>
        <w:tc>
          <w:tcPr>
            <w:tcW w:w="2268" w:type="dxa"/>
          </w:tcPr>
          <w:p w14:paraId="5344B527">
            <w:pPr>
              <w:spacing w:line="480" w:lineRule="exact"/>
              <w:jc w:val="left"/>
              <w:rPr>
                <w:rFonts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>坐垫</w:t>
            </w:r>
          </w:p>
        </w:tc>
        <w:tc>
          <w:tcPr>
            <w:tcW w:w="993" w:type="dxa"/>
          </w:tcPr>
          <w:p w14:paraId="5927DC84">
            <w:pPr>
              <w:spacing w:line="480" w:lineRule="exact"/>
              <w:jc w:val="left"/>
              <w:rPr>
                <w:rFonts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>2个</w:t>
            </w:r>
          </w:p>
        </w:tc>
        <w:tc>
          <w:tcPr>
            <w:tcW w:w="4766" w:type="dxa"/>
          </w:tcPr>
          <w:p w14:paraId="4D710D3C">
            <w:pPr>
              <w:spacing w:line="480" w:lineRule="exact"/>
              <w:jc w:val="left"/>
              <w:rPr>
                <w:rFonts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fldChar w:fldCharType="begin"/>
            </w:r>
            <w:r>
              <w:rPr>
                <w:rFonts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instrText xml:space="preserve"> </w:instrTex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instrText xml:space="preserve">= 1 \* GB3</w:instrText>
            </w:r>
            <w:r>
              <w:rPr>
                <w:rFonts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instrText xml:space="preserve"> </w:instrText>
            </w:r>
            <w:r>
              <w:rPr>
                <w:rFonts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fldChar w:fldCharType="separate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>①</w:t>
            </w:r>
            <w:r>
              <w:rPr>
                <w:rFonts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fldChar w:fldCharType="end"/>
            </w:r>
            <w:r>
              <w:rPr>
                <w:rFonts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>厚</w:t>
            </w:r>
            <w:r>
              <w:rPr>
                <w:rFonts w:hint="eastAsia"/>
                <w:szCs w:val="24"/>
              </w:rPr>
              <w:t>≥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>8cm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fldChar w:fldCharType="begin"/>
            </w:r>
            <w:r>
              <w:rPr>
                <w:rFonts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instrText xml:space="preserve"> </w:instrTex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instrText xml:space="preserve">= 2 \* GB3</w:instrText>
            </w:r>
            <w:r>
              <w:rPr>
                <w:rFonts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instrText xml:space="preserve"> </w:instrText>
            </w:r>
            <w:r>
              <w:rPr>
                <w:rFonts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fldChar w:fldCharType="separate"/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>②</w:t>
            </w:r>
            <w:r>
              <w:rPr>
                <w:rFonts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fldChar w:fldCharType="end"/>
            </w:r>
            <w:r>
              <w:rPr>
                <w:rFonts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>厚</w:t>
            </w:r>
            <w:r>
              <w:rPr>
                <w:rFonts w:hint="eastAsia"/>
                <w:szCs w:val="24"/>
              </w:rPr>
              <w:t>≥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>4cm</w:t>
            </w:r>
          </w:p>
        </w:tc>
      </w:tr>
      <w:tr w14:paraId="5E2AB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5" w:type="dxa"/>
          </w:tcPr>
          <w:p w14:paraId="61720183">
            <w:pPr>
              <w:spacing w:line="480" w:lineRule="exact"/>
              <w:jc w:val="left"/>
              <w:rPr>
                <w:rFonts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>11</w:t>
            </w:r>
          </w:p>
        </w:tc>
        <w:tc>
          <w:tcPr>
            <w:tcW w:w="2268" w:type="dxa"/>
          </w:tcPr>
          <w:p w14:paraId="271F56C2">
            <w:pPr>
              <w:spacing w:line="480" w:lineRule="exact"/>
              <w:jc w:val="left"/>
              <w:rPr>
                <w:rFonts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>头枕</w:t>
            </w:r>
          </w:p>
        </w:tc>
        <w:tc>
          <w:tcPr>
            <w:tcW w:w="993" w:type="dxa"/>
          </w:tcPr>
          <w:p w14:paraId="0193FDED">
            <w:pPr>
              <w:spacing w:line="480" w:lineRule="exact"/>
              <w:jc w:val="left"/>
              <w:rPr>
                <w:rFonts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>5个</w:t>
            </w:r>
          </w:p>
        </w:tc>
        <w:tc>
          <w:tcPr>
            <w:tcW w:w="4766" w:type="dxa"/>
          </w:tcPr>
          <w:p w14:paraId="213F4230">
            <w:pPr>
              <w:spacing w:line="480" w:lineRule="exact"/>
              <w:jc w:val="left"/>
              <w:rPr>
                <w:rFonts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>——</w:t>
            </w:r>
          </w:p>
        </w:tc>
      </w:tr>
      <w:tr w14:paraId="1CC8F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5" w:type="dxa"/>
          </w:tcPr>
          <w:p w14:paraId="27A8A69A">
            <w:pPr>
              <w:spacing w:line="480" w:lineRule="exact"/>
              <w:jc w:val="left"/>
              <w:rPr>
                <w:rFonts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>12</w:t>
            </w:r>
          </w:p>
        </w:tc>
        <w:tc>
          <w:tcPr>
            <w:tcW w:w="2268" w:type="dxa"/>
          </w:tcPr>
          <w:p w14:paraId="4C98F95F">
            <w:pPr>
              <w:spacing w:line="480" w:lineRule="exact"/>
              <w:jc w:val="left"/>
              <w:rPr>
                <w:rFonts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>保险丝</w:t>
            </w:r>
          </w:p>
        </w:tc>
        <w:tc>
          <w:tcPr>
            <w:tcW w:w="993" w:type="dxa"/>
          </w:tcPr>
          <w:p w14:paraId="206A531E">
            <w:pPr>
              <w:spacing w:line="480" w:lineRule="exact"/>
              <w:jc w:val="left"/>
              <w:rPr>
                <w:rFonts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>4根</w:t>
            </w:r>
          </w:p>
        </w:tc>
        <w:tc>
          <w:tcPr>
            <w:tcW w:w="4766" w:type="dxa"/>
          </w:tcPr>
          <w:p w14:paraId="574888BD">
            <w:pPr>
              <w:spacing w:line="480" w:lineRule="exact"/>
              <w:jc w:val="left"/>
              <w:rPr>
                <w:rFonts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 xml:space="preserve">Φ5×20 </w:t>
            </w:r>
            <w:r>
              <w:rPr>
                <w:rFonts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>T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</w:rPr>
              <w:t>10A 250VAC</w:t>
            </w:r>
          </w:p>
        </w:tc>
      </w:tr>
      <w:tr w14:paraId="46F27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5" w:type="dxa"/>
          </w:tcPr>
          <w:p w14:paraId="0B7CB8FC">
            <w:pPr>
              <w:spacing w:line="480" w:lineRule="exact"/>
              <w:jc w:val="left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2268" w:type="dxa"/>
          </w:tcPr>
          <w:p w14:paraId="020BB8CD">
            <w:pPr>
              <w:spacing w:line="480" w:lineRule="exact"/>
              <w:jc w:val="left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4"/>
                <w:lang w:eastAsia="zh-CN"/>
              </w:rPr>
              <w:t>★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视频眼震电图仪</w:t>
            </w:r>
          </w:p>
        </w:tc>
        <w:tc>
          <w:tcPr>
            <w:tcW w:w="993" w:type="dxa"/>
          </w:tcPr>
          <w:p w14:paraId="172B2944">
            <w:pPr>
              <w:spacing w:line="480" w:lineRule="exact"/>
              <w:jc w:val="left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1台</w:t>
            </w:r>
          </w:p>
        </w:tc>
        <w:tc>
          <w:tcPr>
            <w:tcW w:w="4766" w:type="dxa"/>
          </w:tcPr>
          <w:p w14:paraId="38B9DE1A">
            <w:pPr>
              <w:spacing w:line="480" w:lineRule="exact"/>
              <w:jc w:val="left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视频眼震电图</w:t>
            </w:r>
          </w:p>
        </w:tc>
      </w:tr>
      <w:tr w14:paraId="7AB9A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5" w:type="dxa"/>
          </w:tcPr>
          <w:p w14:paraId="4D691B4F">
            <w:pPr>
              <w:spacing w:line="480" w:lineRule="exact"/>
              <w:jc w:val="left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2268" w:type="dxa"/>
          </w:tcPr>
          <w:p w14:paraId="68E805DD">
            <w:pPr>
              <w:spacing w:line="480" w:lineRule="exact"/>
              <w:jc w:val="left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4"/>
                <w:lang w:eastAsia="zh-CN"/>
              </w:rPr>
              <w:t>★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甩头实验仪</w:t>
            </w:r>
          </w:p>
        </w:tc>
        <w:tc>
          <w:tcPr>
            <w:tcW w:w="993" w:type="dxa"/>
          </w:tcPr>
          <w:p w14:paraId="6174FF62">
            <w:pPr>
              <w:spacing w:line="480" w:lineRule="exact"/>
              <w:jc w:val="left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1台</w:t>
            </w:r>
          </w:p>
        </w:tc>
        <w:tc>
          <w:tcPr>
            <w:tcW w:w="4766" w:type="dxa"/>
          </w:tcPr>
          <w:p w14:paraId="16E3095C">
            <w:pPr>
              <w:spacing w:line="480" w:lineRule="exact"/>
              <w:jc w:val="left"/>
              <w:rPr>
                <w:rFonts w:hint="default" w:asciiTheme="minorEastAsia" w:hAnsiTheme="minorEastAsia" w:eastAsiaTheme="minorEastAsia" w:cstheme="minorEastAsia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甩头实验仪、高频</w:t>
            </w:r>
          </w:p>
        </w:tc>
      </w:tr>
    </w:tbl>
    <w:p w14:paraId="5E6C7315">
      <w:pPr>
        <w:rPr>
          <w:szCs w:val="24"/>
        </w:rPr>
      </w:pPr>
    </w:p>
    <w:p w14:paraId="6C1B6633">
      <w:pPr>
        <w:rPr>
          <w:szCs w:val="24"/>
        </w:rPr>
      </w:pPr>
    </w:p>
    <w:p w14:paraId="681D3106">
      <w:pPr>
        <w:rPr>
          <w:szCs w:val="24"/>
        </w:rPr>
      </w:pPr>
    </w:p>
    <w:p w14:paraId="4F14873C">
      <w:pPr>
        <w:rPr>
          <w:szCs w:val="24"/>
        </w:rPr>
      </w:pPr>
    </w:p>
    <w:p w14:paraId="16A1C9FC">
      <w:pPr>
        <w:rPr>
          <w:szCs w:val="24"/>
        </w:rPr>
      </w:pPr>
    </w:p>
    <w:p w14:paraId="624CDE15">
      <w:pPr>
        <w:rPr>
          <w:szCs w:val="24"/>
        </w:rPr>
      </w:pPr>
    </w:p>
    <w:p w14:paraId="3FE78247">
      <w:pPr>
        <w:rPr>
          <w:szCs w:val="24"/>
        </w:rPr>
      </w:pPr>
    </w:p>
    <w:p w14:paraId="2697EE76">
      <w:pPr>
        <w:rPr>
          <w:szCs w:val="24"/>
        </w:rPr>
      </w:pPr>
    </w:p>
    <w:p w14:paraId="4366D0D7">
      <w:pPr>
        <w:rPr>
          <w:szCs w:val="24"/>
        </w:rPr>
      </w:pPr>
    </w:p>
    <w:p w14:paraId="0B98AF5B">
      <w:pPr>
        <w:rPr>
          <w:szCs w:val="24"/>
        </w:rPr>
      </w:pPr>
    </w:p>
    <w:p w14:paraId="02A002AD">
      <w:pPr>
        <w:rPr>
          <w:szCs w:val="24"/>
        </w:rPr>
      </w:pPr>
    </w:p>
    <w:p w14:paraId="3523E21E">
      <w:pPr>
        <w:rPr>
          <w:szCs w:val="24"/>
        </w:rPr>
      </w:pPr>
    </w:p>
    <w:p w14:paraId="5C3246D6">
      <w:pPr>
        <w:rPr>
          <w:szCs w:val="24"/>
        </w:rPr>
      </w:pPr>
    </w:p>
    <w:p w14:paraId="0AACF852">
      <w:pPr>
        <w:rPr>
          <w:szCs w:val="24"/>
        </w:rPr>
      </w:pPr>
    </w:p>
    <w:p w14:paraId="16AB9FC0">
      <w:pPr>
        <w:rPr>
          <w:szCs w:val="24"/>
        </w:rPr>
      </w:pPr>
    </w:p>
    <w:p w14:paraId="5DAED57A">
      <w:pPr>
        <w:rPr>
          <w:szCs w:val="24"/>
        </w:rPr>
      </w:pPr>
    </w:p>
    <w:p w14:paraId="41427D83">
      <w:pPr>
        <w:rPr>
          <w:szCs w:val="24"/>
        </w:rPr>
      </w:pPr>
    </w:p>
    <w:p w14:paraId="163966D5">
      <w:pPr>
        <w:rPr>
          <w:szCs w:val="24"/>
        </w:rPr>
      </w:pPr>
    </w:p>
    <w:p w14:paraId="7C8CF3AF">
      <w:pPr>
        <w:rPr>
          <w:szCs w:val="24"/>
        </w:rPr>
      </w:pPr>
    </w:p>
    <w:p w14:paraId="2C5B59C3">
      <w:pPr>
        <w:rPr>
          <w:szCs w:val="24"/>
        </w:rPr>
      </w:pPr>
    </w:p>
    <w:p w14:paraId="64A84718">
      <w:pPr>
        <w:rPr>
          <w:szCs w:val="24"/>
        </w:rPr>
      </w:pPr>
    </w:p>
    <w:p w14:paraId="38238B24">
      <w:pPr>
        <w:rPr>
          <w:szCs w:val="24"/>
        </w:rPr>
      </w:pPr>
    </w:p>
    <w:p w14:paraId="5154CA7A">
      <w:pPr>
        <w:rPr>
          <w:szCs w:val="24"/>
        </w:rPr>
      </w:pPr>
    </w:p>
    <w:p w14:paraId="34CA36C2">
      <w:pPr>
        <w:rPr>
          <w:szCs w:val="24"/>
        </w:rPr>
      </w:pPr>
    </w:p>
    <w:p w14:paraId="54BF409D">
      <w:pPr>
        <w:rPr>
          <w:szCs w:val="24"/>
        </w:rPr>
      </w:pPr>
    </w:p>
    <w:p w14:paraId="49547E23">
      <w:pPr>
        <w:rPr>
          <w:szCs w:val="24"/>
        </w:rPr>
      </w:pPr>
    </w:p>
    <w:p w14:paraId="150EEED5">
      <w:pPr>
        <w:rPr>
          <w:szCs w:val="24"/>
        </w:rPr>
      </w:pPr>
    </w:p>
    <w:p w14:paraId="66D7F33F">
      <w:pPr>
        <w:rPr>
          <w:szCs w:val="24"/>
        </w:rPr>
      </w:pPr>
    </w:p>
    <w:p w14:paraId="4D58CBA2">
      <w:pPr>
        <w:rPr>
          <w:szCs w:val="24"/>
        </w:rPr>
      </w:pPr>
    </w:p>
    <w:p w14:paraId="066A4096">
      <w:pPr>
        <w:jc w:val="center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视频眼震图仪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技术参数</w:t>
      </w:r>
    </w:p>
    <w:tbl>
      <w:tblPr>
        <w:tblStyle w:val="4"/>
        <w:tblW w:w="8313" w:type="dxa"/>
        <w:tblInd w:w="13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8"/>
        <w:gridCol w:w="7225"/>
      </w:tblGrid>
      <w:tr w14:paraId="3E461E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1088" w:type="dxa"/>
            <w:tcBorders>
              <w:bottom w:val="single" w:color="000000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356B2F61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序号</w:t>
            </w:r>
          </w:p>
        </w:tc>
        <w:tc>
          <w:tcPr>
            <w:tcW w:w="7225" w:type="dxa"/>
            <w:tcBorders>
              <w:left w:val="single" w:color="auto" w:sz="4" w:space="0"/>
              <w:bottom w:val="single" w:color="000000" w:sz="4" w:space="0"/>
            </w:tcBorders>
            <w:shd w:val="clear" w:color="auto" w:fill="FFFFFF" w:themeFill="background1"/>
            <w:vAlign w:val="center"/>
          </w:tcPr>
          <w:p w14:paraId="30423F59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技术性能</w:t>
            </w:r>
          </w:p>
        </w:tc>
      </w:tr>
      <w:tr w14:paraId="1BECFF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088" w:type="dxa"/>
            <w:tcBorders>
              <w:bottom w:val="single" w:color="000000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6452FBAE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</w:t>
            </w:r>
          </w:p>
        </w:tc>
        <w:tc>
          <w:tcPr>
            <w:tcW w:w="7225" w:type="dxa"/>
            <w:tcBorders>
              <w:left w:val="single" w:color="auto" w:sz="4" w:space="0"/>
              <w:bottom w:val="single" w:color="000000" w:sz="4" w:space="0"/>
            </w:tcBorders>
            <w:shd w:val="clear" w:color="auto" w:fill="FFFFFF" w:themeFill="background1"/>
            <w:vAlign w:val="center"/>
          </w:tcPr>
          <w:p w14:paraId="5E29B47E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主机眼罩：★不同分辨率下帧率的要求:（要求提供检测报告）1920*1080P 60fps；</w:t>
            </w:r>
          </w:p>
          <w:p w14:paraId="54F8C173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640*480P   60fps；320*240P  440fps；</w:t>
            </w:r>
          </w:p>
        </w:tc>
      </w:tr>
      <w:tr w14:paraId="4DC068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88" w:type="dxa"/>
            <w:tcBorders>
              <w:right w:val="single" w:color="auto" w:sz="4" w:space="0"/>
            </w:tcBorders>
            <w:vAlign w:val="center"/>
          </w:tcPr>
          <w:p w14:paraId="700A1F64">
            <w:pPr>
              <w:spacing w:line="276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2</w:t>
            </w:r>
          </w:p>
        </w:tc>
        <w:tc>
          <w:tcPr>
            <w:tcW w:w="7225" w:type="dxa"/>
            <w:tcBorders>
              <w:left w:val="single" w:color="auto" w:sz="4" w:space="0"/>
            </w:tcBorders>
            <w:vAlign w:val="center"/>
          </w:tcPr>
          <w:p w14:paraId="2026585E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目镜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shd w:val="clear" w:color="auto" w:fill="FFFFFF"/>
              </w:rPr>
              <w:t>图像分辨率≥1080P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（要求提供检测报告）</w:t>
            </w:r>
          </w:p>
        </w:tc>
      </w:tr>
      <w:tr w14:paraId="66A58F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88" w:type="dxa"/>
            <w:tcBorders>
              <w:right w:val="single" w:color="auto" w:sz="4" w:space="0"/>
            </w:tcBorders>
            <w:vAlign w:val="center"/>
          </w:tcPr>
          <w:p w14:paraId="62C79BD4">
            <w:pPr>
              <w:widowControl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3</w:t>
            </w:r>
          </w:p>
        </w:tc>
        <w:tc>
          <w:tcPr>
            <w:tcW w:w="7225" w:type="dxa"/>
            <w:tcBorders>
              <w:left w:val="single" w:color="auto" w:sz="4" w:space="0"/>
            </w:tcBorders>
            <w:vAlign w:val="center"/>
          </w:tcPr>
          <w:p w14:paraId="1C26C06D">
            <w:pPr>
              <w:spacing w:line="360" w:lineRule="auto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sz w:val="21"/>
                <w:szCs w:val="21"/>
              </w:rPr>
              <w:t>双眼眼罩设计，可以完成左、右双眼的检查</w:t>
            </w:r>
          </w:p>
        </w:tc>
      </w:tr>
      <w:tr w14:paraId="671DF2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88" w:type="dxa"/>
            <w:tcBorders>
              <w:right w:val="single" w:color="auto" w:sz="4" w:space="0"/>
            </w:tcBorders>
            <w:vAlign w:val="center"/>
          </w:tcPr>
          <w:p w14:paraId="5B31FDC0">
            <w:pPr>
              <w:spacing w:line="276" w:lineRule="auto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4</w:t>
            </w:r>
          </w:p>
        </w:tc>
        <w:tc>
          <w:tcPr>
            <w:tcW w:w="7225" w:type="dxa"/>
            <w:tcBorders>
              <w:left w:val="single" w:color="auto" w:sz="4" w:space="0"/>
            </w:tcBorders>
            <w:vAlign w:val="center"/>
          </w:tcPr>
          <w:p w14:paraId="2456B601">
            <w:pPr>
              <w:spacing w:line="360" w:lineRule="auto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sz w:val="21"/>
                <w:szCs w:val="21"/>
              </w:rPr>
              <w:t>具有3D眼震，描记并分析水平、垂直、旋转眼震曲线</w:t>
            </w:r>
          </w:p>
        </w:tc>
      </w:tr>
      <w:tr w14:paraId="4621AD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1088" w:type="dxa"/>
            <w:tcBorders>
              <w:right w:val="single" w:color="auto" w:sz="4" w:space="0"/>
            </w:tcBorders>
            <w:vAlign w:val="center"/>
          </w:tcPr>
          <w:p w14:paraId="2E4C87E1">
            <w:pPr>
              <w:spacing w:line="276" w:lineRule="auto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5</w:t>
            </w:r>
          </w:p>
        </w:tc>
        <w:tc>
          <w:tcPr>
            <w:tcW w:w="7225" w:type="dxa"/>
            <w:tcBorders>
              <w:left w:val="single" w:color="auto" w:sz="4" w:space="0"/>
            </w:tcBorders>
            <w:vAlign w:val="center"/>
          </w:tcPr>
          <w:p w14:paraId="0DC39C5A">
            <w:pPr>
              <w:spacing w:line="360" w:lineRule="auto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sz w:val="21"/>
                <w:szCs w:val="21"/>
              </w:rPr>
              <w:t>瞳孔定标：自动追踪瞳孔位置</w:t>
            </w:r>
          </w:p>
        </w:tc>
      </w:tr>
      <w:tr w14:paraId="06D844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88" w:type="dxa"/>
            <w:tcBorders>
              <w:right w:val="single" w:color="auto" w:sz="4" w:space="0"/>
            </w:tcBorders>
            <w:vAlign w:val="center"/>
          </w:tcPr>
          <w:p w14:paraId="29D49377">
            <w:pPr>
              <w:widowControl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6</w:t>
            </w:r>
          </w:p>
        </w:tc>
        <w:tc>
          <w:tcPr>
            <w:tcW w:w="7225" w:type="dxa"/>
            <w:tcBorders>
              <w:left w:val="single" w:color="auto" w:sz="4" w:space="0"/>
            </w:tcBorders>
            <w:vAlign w:val="center"/>
          </w:tcPr>
          <w:p w14:paraId="512D2EF3">
            <w:pPr>
              <w:spacing w:line="360" w:lineRule="auto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sz w:val="21"/>
                <w:szCs w:val="21"/>
              </w:rPr>
              <w:t>眼球追踪：实时追踪眼球动态，高清传输每一帧画面</w:t>
            </w:r>
          </w:p>
        </w:tc>
      </w:tr>
      <w:tr w14:paraId="1B9175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88" w:type="dxa"/>
            <w:tcBorders>
              <w:right w:val="single" w:color="auto" w:sz="4" w:space="0"/>
            </w:tcBorders>
            <w:vAlign w:val="center"/>
          </w:tcPr>
          <w:p w14:paraId="32E93B3F">
            <w:pPr>
              <w:spacing w:line="276" w:lineRule="auto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7</w:t>
            </w:r>
          </w:p>
        </w:tc>
        <w:tc>
          <w:tcPr>
            <w:tcW w:w="7225" w:type="dxa"/>
            <w:tcBorders>
              <w:left w:val="single" w:color="auto" w:sz="4" w:space="0"/>
            </w:tcBorders>
            <w:vAlign w:val="center"/>
          </w:tcPr>
          <w:p w14:paraId="0332FEC6">
            <w:pPr>
              <w:spacing w:line="360" w:lineRule="auto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sz w:val="21"/>
                <w:szCs w:val="21"/>
              </w:rPr>
              <w:t>水平眼动识别准确度：-30°（左）</w:t>
            </w:r>
            <w:r>
              <w:rPr>
                <w:rFonts w:ascii="Arial" w:hAnsi="Arial" w:eastAsia="仿宋_GB2312" w:cs="Arial"/>
                <w:sz w:val="21"/>
                <w:szCs w:val="21"/>
              </w:rPr>
              <w:t>≤</w:t>
            </w:r>
            <w:r>
              <w:rPr>
                <w:rFonts w:hint="eastAsia" w:ascii="Arial" w:hAnsi="Arial" w:eastAsia="仿宋_GB2312" w:cs="Arial"/>
                <w:sz w:val="21"/>
                <w:szCs w:val="21"/>
              </w:rPr>
              <w:t xml:space="preserve"> </w:t>
            </w:r>
            <w:r>
              <w:rPr>
                <w:rFonts w:hint="eastAsia" w:ascii="仿宋_GB2312" w:hAnsi="宋体" w:eastAsia="仿宋_GB2312"/>
                <w:sz w:val="21"/>
                <w:szCs w:val="21"/>
              </w:rPr>
              <w:t xml:space="preserve">眼动范围 </w:t>
            </w:r>
            <w:r>
              <w:rPr>
                <w:rFonts w:ascii="Arial" w:hAnsi="Arial" w:eastAsia="仿宋_GB2312" w:cs="Arial"/>
                <w:sz w:val="21"/>
                <w:szCs w:val="21"/>
              </w:rPr>
              <w:t>≤</w:t>
            </w:r>
            <w:r>
              <w:rPr>
                <w:rFonts w:hint="eastAsia" w:ascii="Arial" w:hAnsi="Arial" w:eastAsia="仿宋_GB2312" w:cs="Arial"/>
                <w:sz w:val="21"/>
                <w:szCs w:val="21"/>
              </w:rPr>
              <w:t xml:space="preserve"> +30°（右）</w:t>
            </w:r>
            <w:r>
              <w:rPr>
                <w:rFonts w:hint="eastAsia" w:ascii="仿宋_GB2312" w:hAnsi="宋体" w:eastAsia="仿宋_GB2312"/>
                <w:sz w:val="21"/>
                <w:szCs w:val="21"/>
              </w:rPr>
              <w:t>识别误差范围：±1.2°</w:t>
            </w:r>
          </w:p>
        </w:tc>
      </w:tr>
      <w:tr w14:paraId="624EFC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88" w:type="dxa"/>
            <w:tcBorders>
              <w:right w:val="single" w:color="auto" w:sz="4" w:space="0"/>
            </w:tcBorders>
            <w:vAlign w:val="center"/>
          </w:tcPr>
          <w:p w14:paraId="7BF40626">
            <w:pPr>
              <w:spacing w:line="276" w:lineRule="auto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8</w:t>
            </w:r>
          </w:p>
        </w:tc>
        <w:tc>
          <w:tcPr>
            <w:tcW w:w="7225" w:type="dxa"/>
            <w:tcBorders>
              <w:left w:val="single" w:color="auto" w:sz="4" w:space="0"/>
            </w:tcBorders>
            <w:vAlign w:val="center"/>
          </w:tcPr>
          <w:p w14:paraId="5518A6D0">
            <w:pPr>
              <w:spacing w:line="360" w:lineRule="auto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sz w:val="21"/>
                <w:szCs w:val="21"/>
              </w:rPr>
              <w:t>垂直眼动识别准确度：-30°（下）</w:t>
            </w:r>
            <w:r>
              <w:rPr>
                <w:rFonts w:ascii="Arial" w:hAnsi="Arial" w:eastAsia="仿宋_GB2312" w:cs="Arial"/>
                <w:sz w:val="21"/>
                <w:szCs w:val="21"/>
              </w:rPr>
              <w:t>≤</w:t>
            </w:r>
            <w:r>
              <w:rPr>
                <w:rFonts w:hint="eastAsia" w:ascii="Arial" w:hAnsi="Arial" w:eastAsia="仿宋_GB2312" w:cs="Arial"/>
                <w:sz w:val="21"/>
                <w:szCs w:val="21"/>
              </w:rPr>
              <w:t xml:space="preserve"> </w:t>
            </w:r>
            <w:r>
              <w:rPr>
                <w:rFonts w:hint="eastAsia" w:ascii="仿宋_GB2312" w:hAnsi="宋体" w:eastAsia="仿宋_GB2312"/>
                <w:sz w:val="21"/>
                <w:szCs w:val="21"/>
              </w:rPr>
              <w:t xml:space="preserve">眼动范围 </w:t>
            </w:r>
            <w:r>
              <w:rPr>
                <w:rFonts w:ascii="Arial" w:hAnsi="Arial" w:eastAsia="仿宋_GB2312" w:cs="Arial"/>
                <w:sz w:val="21"/>
                <w:szCs w:val="21"/>
              </w:rPr>
              <w:t>≤</w:t>
            </w:r>
            <w:r>
              <w:rPr>
                <w:rFonts w:hint="eastAsia" w:ascii="Arial" w:hAnsi="Arial" w:eastAsia="仿宋_GB2312" w:cs="Arial"/>
                <w:sz w:val="21"/>
                <w:szCs w:val="21"/>
              </w:rPr>
              <w:t xml:space="preserve"> +30°（上）</w:t>
            </w:r>
            <w:r>
              <w:rPr>
                <w:rFonts w:hint="eastAsia" w:ascii="仿宋_GB2312" w:hAnsi="宋体" w:eastAsia="仿宋_GB2312"/>
                <w:sz w:val="21"/>
                <w:szCs w:val="21"/>
              </w:rPr>
              <w:t>识别误差范围：±1.2°</w:t>
            </w:r>
          </w:p>
        </w:tc>
      </w:tr>
      <w:tr w14:paraId="47DCF7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88" w:type="dxa"/>
            <w:tcBorders>
              <w:right w:val="single" w:color="auto" w:sz="4" w:space="0"/>
            </w:tcBorders>
            <w:vAlign w:val="center"/>
          </w:tcPr>
          <w:p w14:paraId="0266026F">
            <w:pPr>
              <w:spacing w:line="276" w:lineRule="auto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9</w:t>
            </w:r>
          </w:p>
        </w:tc>
        <w:tc>
          <w:tcPr>
            <w:tcW w:w="7225" w:type="dxa"/>
            <w:tcBorders>
              <w:left w:val="single" w:color="auto" w:sz="4" w:space="0"/>
            </w:tcBorders>
            <w:vAlign w:val="center"/>
          </w:tcPr>
          <w:p w14:paraId="1D1B2F0F">
            <w:pPr>
              <w:spacing w:line="360" w:lineRule="auto"/>
              <w:rPr>
                <w:rFonts w:hint="eastAsia" w:ascii="仿宋_GB2312" w:hAnsi="宋体" w:eastAsia="仿宋_GB2312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sz w:val="21"/>
                <w:szCs w:val="21"/>
              </w:rPr>
              <w:t>轴向眼动识别准确度：-18°（顺时针）</w:t>
            </w:r>
            <w:r>
              <w:rPr>
                <w:rFonts w:ascii="Arial" w:hAnsi="Arial" w:eastAsia="仿宋_GB2312" w:cs="Arial"/>
                <w:sz w:val="21"/>
                <w:szCs w:val="21"/>
              </w:rPr>
              <w:t>≤</w:t>
            </w:r>
            <w:r>
              <w:rPr>
                <w:rFonts w:hint="eastAsia" w:ascii="Arial" w:hAnsi="Arial" w:eastAsia="仿宋_GB2312" w:cs="Arial"/>
                <w:sz w:val="21"/>
                <w:szCs w:val="21"/>
              </w:rPr>
              <w:t xml:space="preserve"> </w:t>
            </w:r>
            <w:r>
              <w:rPr>
                <w:rFonts w:hint="eastAsia" w:ascii="仿宋_GB2312" w:hAnsi="宋体" w:eastAsia="仿宋_GB2312"/>
                <w:sz w:val="21"/>
                <w:szCs w:val="21"/>
              </w:rPr>
              <w:t xml:space="preserve">眼动范围 </w:t>
            </w:r>
            <w:r>
              <w:rPr>
                <w:rFonts w:ascii="Arial" w:hAnsi="Arial" w:eastAsia="仿宋_GB2312" w:cs="Arial"/>
                <w:sz w:val="21"/>
                <w:szCs w:val="21"/>
              </w:rPr>
              <w:t>≤</w:t>
            </w:r>
            <w:r>
              <w:rPr>
                <w:rFonts w:hint="eastAsia" w:ascii="Arial" w:hAnsi="Arial" w:eastAsia="仿宋_GB2312" w:cs="Arial"/>
                <w:sz w:val="21"/>
                <w:szCs w:val="21"/>
              </w:rPr>
              <w:t xml:space="preserve"> +18</w:t>
            </w:r>
            <w:r>
              <w:rPr>
                <w:rFonts w:hint="eastAsia" w:ascii="仿宋_GB2312" w:hAnsi="Arial" w:eastAsia="仿宋_GB2312" w:cs="Arial"/>
                <w:sz w:val="21"/>
                <w:szCs w:val="21"/>
              </w:rPr>
              <w:t>°（逆时针）</w:t>
            </w:r>
            <w:r>
              <w:rPr>
                <w:rFonts w:hint="eastAsia" w:ascii="仿宋_GB2312" w:hAnsi="宋体" w:eastAsia="仿宋_GB2312"/>
                <w:sz w:val="21"/>
                <w:szCs w:val="21"/>
              </w:rPr>
              <w:t>识别误差范围：±1°</w:t>
            </w:r>
          </w:p>
        </w:tc>
      </w:tr>
      <w:tr w14:paraId="76A6CF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88" w:type="dxa"/>
            <w:tcBorders>
              <w:right w:val="single" w:color="auto" w:sz="4" w:space="0"/>
            </w:tcBorders>
            <w:vAlign w:val="center"/>
          </w:tcPr>
          <w:p w14:paraId="27147DFA">
            <w:pPr>
              <w:spacing w:line="276" w:lineRule="auto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1</w:t>
            </w:r>
            <w:r>
              <w:rPr>
                <w:rFonts w:ascii="宋体" w:hAnsi="宋体" w:cs="宋体"/>
                <w:sz w:val="21"/>
                <w:szCs w:val="21"/>
              </w:rPr>
              <w:t>0</w:t>
            </w:r>
          </w:p>
        </w:tc>
        <w:tc>
          <w:tcPr>
            <w:tcW w:w="7225" w:type="dxa"/>
            <w:tcBorders>
              <w:left w:val="single" w:color="auto" w:sz="4" w:space="0"/>
            </w:tcBorders>
            <w:vAlign w:val="center"/>
          </w:tcPr>
          <w:p w14:paraId="654A0F8F">
            <w:pPr>
              <w:spacing w:line="360" w:lineRule="auto"/>
              <w:rPr>
                <w:rFonts w:hint="eastAsia" w:ascii="Arial" w:hAnsi="Arial" w:eastAsia="仿宋_GB2312" w:cs="Arial"/>
                <w:sz w:val="21"/>
                <w:szCs w:val="21"/>
              </w:rPr>
            </w:pPr>
            <w:r>
              <w:rPr>
                <w:rFonts w:hint="eastAsia" w:ascii="仿宋_GB2312" w:hAnsi="Arial" w:eastAsia="仿宋_GB2312" w:cs="Arial"/>
                <w:sz w:val="21"/>
                <w:szCs w:val="21"/>
              </w:rPr>
              <w:t>头动速度识别准确度：头动速度识别准确度误差范围±</w:t>
            </w:r>
            <w:r>
              <w:rPr>
                <w:rFonts w:hint="eastAsia" w:ascii="Arial" w:hAnsi="Arial" w:eastAsia="仿宋_GB2312" w:cs="Arial"/>
                <w:sz w:val="21"/>
                <w:szCs w:val="21"/>
              </w:rPr>
              <w:t>3</w:t>
            </w:r>
            <w:r>
              <w:rPr>
                <w:rFonts w:hint="eastAsia" w:ascii="仿宋_GB2312" w:hAnsi="Arial" w:eastAsia="仿宋_GB2312" w:cs="Arial"/>
                <w:sz w:val="21"/>
                <w:szCs w:val="21"/>
              </w:rPr>
              <w:t>°</w:t>
            </w:r>
            <w:r>
              <w:rPr>
                <w:rFonts w:hint="eastAsia" w:ascii="Arial" w:hAnsi="Arial" w:eastAsia="仿宋_GB2312" w:cs="Arial"/>
                <w:sz w:val="21"/>
                <w:szCs w:val="21"/>
              </w:rPr>
              <w:t>/s</w:t>
            </w:r>
            <w:r>
              <w:rPr>
                <w:rFonts w:hint="eastAsia" w:ascii="仿宋_GB2312" w:hAnsi="Arial" w:eastAsia="仿宋_GB2312" w:cs="Arial"/>
                <w:sz w:val="21"/>
                <w:szCs w:val="21"/>
              </w:rPr>
              <w:t>，速度范围（±</w:t>
            </w:r>
            <w:r>
              <w:rPr>
                <w:rFonts w:hint="eastAsia" w:ascii="Arial" w:hAnsi="Arial" w:eastAsia="仿宋_GB2312" w:cs="Arial"/>
                <w:sz w:val="21"/>
                <w:szCs w:val="21"/>
              </w:rPr>
              <w:t>250</w:t>
            </w:r>
            <w:r>
              <w:rPr>
                <w:rFonts w:hint="eastAsia" w:ascii="仿宋_GB2312" w:hAnsi="Arial" w:eastAsia="仿宋_GB2312" w:cs="Arial"/>
                <w:sz w:val="21"/>
                <w:szCs w:val="21"/>
              </w:rPr>
              <w:t>°</w:t>
            </w:r>
            <w:r>
              <w:rPr>
                <w:rFonts w:hint="eastAsia" w:ascii="Arial" w:hAnsi="Arial" w:eastAsia="仿宋_GB2312" w:cs="Arial"/>
                <w:sz w:val="21"/>
                <w:szCs w:val="21"/>
              </w:rPr>
              <w:t>/s</w:t>
            </w:r>
            <w:r>
              <w:rPr>
                <w:rFonts w:hint="eastAsia" w:ascii="仿宋_GB2312" w:hAnsi="Arial" w:eastAsia="仿宋_GB2312" w:cs="Arial"/>
                <w:sz w:val="21"/>
                <w:szCs w:val="21"/>
              </w:rPr>
              <w:t>）</w:t>
            </w:r>
          </w:p>
        </w:tc>
      </w:tr>
      <w:tr w14:paraId="146E6F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88" w:type="dxa"/>
            <w:tcBorders>
              <w:right w:val="single" w:color="auto" w:sz="4" w:space="0"/>
            </w:tcBorders>
            <w:vAlign w:val="center"/>
          </w:tcPr>
          <w:p w14:paraId="5237982E">
            <w:pPr>
              <w:spacing w:line="276" w:lineRule="auto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1</w:t>
            </w:r>
            <w:r>
              <w:rPr>
                <w:rFonts w:ascii="宋体" w:hAnsi="宋体" w:cs="宋体"/>
                <w:sz w:val="21"/>
                <w:szCs w:val="21"/>
              </w:rPr>
              <w:t>1</w:t>
            </w:r>
          </w:p>
        </w:tc>
        <w:tc>
          <w:tcPr>
            <w:tcW w:w="7225" w:type="dxa"/>
            <w:tcBorders>
              <w:left w:val="single" w:color="auto" w:sz="4" w:space="0"/>
            </w:tcBorders>
            <w:vAlign w:val="center"/>
          </w:tcPr>
          <w:p w14:paraId="7A8D2E51">
            <w:pPr>
              <w:spacing w:line="276" w:lineRule="auto"/>
              <w:jc w:val="left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sz w:val="21"/>
                <w:szCs w:val="21"/>
              </w:rPr>
              <w:t>眼动刺激信号准确度：频率准确度（正弦波、方波）误差范围±3%，速度准确度误差范围±6%</w:t>
            </w:r>
          </w:p>
        </w:tc>
      </w:tr>
      <w:tr w14:paraId="224E83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88" w:type="dxa"/>
            <w:tcBorders>
              <w:right w:val="single" w:color="auto" w:sz="4" w:space="0"/>
            </w:tcBorders>
            <w:vAlign w:val="center"/>
          </w:tcPr>
          <w:p w14:paraId="5BA3DA6B">
            <w:pPr>
              <w:spacing w:line="276" w:lineRule="auto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1</w:t>
            </w:r>
            <w:r>
              <w:rPr>
                <w:rFonts w:ascii="宋体" w:hAnsi="宋体" w:cs="宋体"/>
                <w:sz w:val="21"/>
                <w:szCs w:val="21"/>
              </w:rPr>
              <w:t>2</w:t>
            </w:r>
          </w:p>
        </w:tc>
        <w:tc>
          <w:tcPr>
            <w:tcW w:w="7225" w:type="dxa"/>
            <w:tcBorders>
              <w:left w:val="single" w:color="auto" w:sz="4" w:space="0"/>
            </w:tcBorders>
            <w:vAlign w:val="center"/>
          </w:tcPr>
          <w:p w14:paraId="29143ABC"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sz w:val="21"/>
                <w:szCs w:val="21"/>
              </w:rPr>
              <w:t>固视抑制功能：具备固视抑制灯</w:t>
            </w:r>
          </w:p>
        </w:tc>
      </w:tr>
      <w:tr w14:paraId="54CB48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88" w:type="dxa"/>
            <w:tcBorders>
              <w:right w:val="single" w:color="auto" w:sz="4" w:space="0"/>
            </w:tcBorders>
            <w:vAlign w:val="center"/>
          </w:tcPr>
          <w:p w14:paraId="017CF9F7">
            <w:pPr>
              <w:spacing w:line="276" w:lineRule="auto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1</w:t>
            </w:r>
            <w:r>
              <w:rPr>
                <w:rFonts w:ascii="宋体" w:hAnsi="宋体" w:cs="宋体"/>
                <w:sz w:val="21"/>
                <w:szCs w:val="21"/>
              </w:rPr>
              <w:t>3</w:t>
            </w:r>
          </w:p>
        </w:tc>
        <w:tc>
          <w:tcPr>
            <w:tcW w:w="7225" w:type="dxa"/>
            <w:tcBorders>
              <w:left w:val="single" w:color="auto" w:sz="4" w:space="0"/>
            </w:tcBorders>
            <w:vAlign w:val="center"/>
          </w:tcPr>
          <w:p w14:paraId="113091EE">
            <w:pPr>
              <w:spacing w:line="360" w:lineRule="auto"/>
              <w:rPr>
                <w:rFonts w:hint="eastAsia" w:ascii="仿宋_GB2312" w:hAnsi="宋体" w:eastAsia="仿宋_GB2312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sz w:val="21"/>
                <w:szCs w:val="21"/>
              </w:rPr>
              <w:t>★</w:t>
            </w:r>
            <w:r>
              <w:rPr>
                <w:rFonts w:hint="eastAsia" w:ascii="仿宋_GB2312" w:hAnsi="宋体" w:eastAsia="仿宋_GB2312"/>
                <w:sz w:val="21"/>
                <w:szCs w:val="21"/>
                <w:lang w:eastAsia="zh-CN"/>
              </w:rPr>
              <w:t>通过一条USB线实现和电脑的信息传输，避免过多线的束缚</w:t>
            </w:r>
          </w:p>
        </w:tc>
      </w:tr>
      <w:tr w14:paraId="354616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88" w:type="dxa"/>
            <w:tcBorders>
              <w:right w:val="single" w:color="auto" w:sz="4" w:space="0"/>
            </w:tcBorders>
            <w:vAlign w:val="center"/>
          </w:tcPr>
          <w:p w14:paraId="7EFE30D1">
            <w:pPr>
              <w:spacing w:line="276" w:lineRule="auto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1</w:t>
            </w:r>
            <w:r>
              <w:rPr>
                <w:rFonts w:ascii="宋体" w:hAnsi="宋体" w:cs="宋体"/>
                <w:sz w:val="21"/>
                <w:szCs w:val="21"/>
              </w:rPr>
              <w:t>4</w:t>
            </w:r>
          </w:p>
        </w:tc>
        <w:tc>
          <w:tcPr>
            <w:tcW w:w="7225" w:type="dxa"/>
            <w:tcBorders>
              <w:left w:val="single" w:color="auto" w:sz="4" w:space="0"/>
            </w:tcBorders>
            <w:vAlign w:val="center"/>
          </w:tcPr>
          <w:p w14:paraId="00F243FE"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sz w:val="21"/>
                <w:szCs w:val="21"/>
              </w:rPr>
              <w:t>★视频头脉冲试验（甩头、甩头抑制）功能（需要提供检测报告）</w:t>
            </w:r>
          </w:p>
        </w:tc>
      </w:tr>
      <w:tr w14:paraId="7E938B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88" w:type="dxa"/>
            <w:tcBorders>
              <w:right w:val="single" w:color="auto" w:sz="4" w:space="0"/>
            </w:tcBorders>
            <w:vAlign w:val="center"/>
          </w:tcPr>
          <w:p w14:paraId="03A8A659">
            <w:pPr>
              <w:spacing w:line="276" w:lineRule="auto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1</w:t>
            </w:r>
            <w:r>
              <w:rPr>
                <w:rFonts w:ascii="宋体" w:hAnsi="宋体" w:cs="宋体"/>
                <w:sz w:val="21"/>
                <w:szCs w:val="21"/>
              </w:rPr>
              <w:t>5</w:t>
            </w:r>
          </w:p>
        </w:tc>
        <w:tc>
          <w:tcPr>
            <w:tcW w:w="7225" w:type="dxa"/>
            <w:tcBorders>
              <w:left w:val="single" w:color="auto" w:sz="4" w:space="0"/>
            </w:tcBorders>
            <w:vAlign w:val="center"/>
          </w:tcPr>
          <w:p w14:paraId="6BE11FFB"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sz w:val="21"/>
                <w:szCs w:val="21"/>
              </w:rPr>
              <w:t>★视频头脉冲试验（甩头、甩头抑制）目镜为双目均有镜片和摄像纪录功能（提供产品彩页证明）</w:t>
            </w:r>
          </w:p>
        </w:tc>
      </w:tr>
      <w:tr w14:paraId="7B2BAA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88" w:type="dxa"/>
            <w:tcBorders>
              <w:right w:val="single" w:color="auto" w:sz="4" w:space="0"/>
            </w:tcBorders>
            <w:vAlign w:val="center"/>
          </w:tcPr>
          <w:p w14:paraId="47843999">
            <w:pPr>
              <w:spacing w:line="276" w:lineRule="auto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1</w:t>
            </w:r>
            <w:r>
              <w:rPr>
                <w:rFonts w:ascii="宋体" w:hAnsi="宋体" w:cs="宋体"/>
                <w:sz w:val="21"/>
                <w:szCs w:val="21"/>
              </w:rPr>
              <w:t>6</w:t>
            </w:r>
          </w:p>
        </w:tc>
        <w:tc>
          <w:tcPr>
            <w:tcW w:w="7225" w:type="dxa"/>
            <w:tcBorders>
              <w:left w:val="single" w:color="auto" w:sz="4" w:space="0"/>
            </w:tcBorders>
            <w:vAlign w:val="center"/>
          </w:tcPr>
          <w:p w14:paraId="30FE51C3">
            <w:pPr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1"/>
                <w:szCs w:val="21"/>
              </w:rPr>
              <w:t>★</w:t>
            </w:r>
            <w:r>
              <w:rPr>
                <w:rFonts w:hint="eastAsia" w:ascii="仿宋_GB2312" w:hAnsi="宋体" w:eastAsia="仿宋_GB2312"/>
                <w:sz w:val="21"/>
                <w:szCs w:val="21"/>
                <w:lang w:val="en-US" w:eastAsia="zh-CN"/>
              </w:rPr>
              <w:t>双目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目镜重量：</w:t>
            </w:r>
            <w:r>
              <w:rPr>
                <w:rFonts w:ascii="Arial" w:hAnsi="Arial" w:eastAsia="仿宋_GB2312" w:cs="Arial"/>
                <w:sz w:val="21"/>
                <w:szCs w:val="21"/>
              </w:rPr>
              <w:t>≤</w:t>
            </w:r>
            <w:r>
              <w:rPr>
                <w:rFonts w:hint="eastAsia" w:ascii="Arial" w:hAnsi="Arial" w:eastAsia="仿宋_GB2312" w:cs="Arial"/>
                <w:sz w:val="21"/>
                <w:szCs w:val="21"/>
                <w:lang w:val="en-US" w:eastAsia="zh-CN"/>
              </w:rPr>
              <w:t>100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g</w:t>
            </w:r>
          </w:p>
        </w:tc>
      </w:tr>
      <w:tr w14:paraId="15121F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9" w:hRule="atLeast"/>
        </w:trPr>
        <w:tc>
          <w:tcPr>
            <w:tcW w:w="1088" w:type="dxa"/>
            <w:tcBorders>
              <w:right w:val="single" w:color="auto" w:sz="4" w:space="0"/>
            </w:tcBorders>
            <w:vAlign w:val="center"/>
          </w:tcPr>
          <w:p w14:paraId="4D3EBE43">
            <w:pPr>
              <w:spacing w:line="276" w:lineRule="auto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1</w:t>
            </w:r>
            <w:r>
              <w:rPr>
                <w:rFonts w:ascii="宋体" w:hAnsi="宋体" w:cs="宋体"/>
                <w:sz w:val="21"/>
                <w:szCs w:val="21"/>
              </w:rPr>
              <w:t>7</w:t>
            </w:r>
          </w:p>
        </w:tc>
        <w:tc>
          <w:tcPr>
            <w:tcW w:w="7225" w:type="dxa"/>
            <w:tcBorders>
              <w:left w:val="single" w:color="auto" w:sz="4" w:space="0"/>
            </w:tcBorders>
            <w:vAlign w:val="center"/>
          </w:tcPr>
          <w:p w14:paraId="6C1CB69F">
            <w:pPr>
              <w:spacing w:line="360" w:lineRule="auto"/>
              <w:rPr>
                <w:rFonts w:hint="eastAsia" w:ascii="仿宋_GB2312" w:hAnsi="宋体" w:eastAsia="仿宋_GB2312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sz w:val="21"/>
                <w:szCs w:val="21"/>
              </w:rPr>
              <w:t>试验模块：校准试验,自发性眼震试验，位置试验（静态、动态）、温度试验、视动试验（水平、垂直）、平稳追踪试验（水平、垂直）、扫视试验（水平、垂直）、凝视试验（水平、垂直）、视频头脉冲试验（甩头、甩头抑制）、自定义试验；</w:t>
            </w:r>
          </w:p>
        </w:tc>
      </w:tr>
      <w:tr w14:paraId="57B5E0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88" w:type="dxa"/>
            <w:tcBorders>
              <w:right w:val="single" w:color="auto" w:sz="4" w:space="0"/>
            </w:tcBorders>
            <w:vAlign w:val="center"/>
          </w:tcPr>
          <w:p w14:paraId="4A9BE117">
            <w:pPr>
              <w:spacing w:line="276" w:lineRule="auto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1</w:t>
            </w:r>
            <w:r>
              <w:rPr>
                <w:rFonts w:ascii="宋体" w:hAnsi="宋体" w:cs="宋体"/>
                <w:sz w:val="21"/>
                <w:szCs w:val="21"/>
              </w:rPr>
              <w:t>8</w:t>
            </w:r>
          </w:p>
        </w:tc>
        <w:tc>
          <w:tcPr>
            <w:tcW w:w="7225" w:type="dxa"/>
            <w:tcBorders>
              <w:left w:val="single" w:color="auto" w:sz="4" w:space="0"/>
            </w:tcBorders>
            <w:vAlign w:val="center"/>
          </w:tcPr>
          <w:p w14:paraId="3C16C255">
            <w:pPr>
              <w:spacing w:line="360" w:lineRule="auto"/>
              <w:rPr>
                <w:rFonts w:hint="eastAsia" w:ascii="仿宋_GB2312" w:hAnsi="宋体" w:eastAsia="仿宋_GB2312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sz w:val="21"/>
                <w:szCs w:val="21"/>
              </w:rPr>
              <w:t>自发性眼震试验：记录时间0-600秒可调，显示水平、垂直、扭转眼震曲线</w:t>
            </w:r>
          </w:p>
        </w:tc>
      </w:tr>
      <w:tr w14:paraId="10A5D4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88" w:type="dxa"/>
            <w:tcBorders>
              <w:right w:val="single" w:color="auto" w:sz="4" w:space="0"/>
            </w:tcBorders>
            <w:vAlign w:val="center"/>
          </w:tcPr>
          <w:p w14:paraId="26FC2E94">
            <w:pPr>
              <w:spacing w:line="276" w:lineRule="auto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1</w:t>
            </w:r>
            <w:r>
              <w:rPr>
                <w:rFonts w:ascii="宋体" w:hAnsi="宋体" w:cs="宋体"/>
                <w:sz w:val="21"/>
                <w:szCs w:val="21"/>
              </w:rPr>
              <w:t>9</w:t>
            </w:r>
          </w:p>
        </w:tc>
        <w:tc>
          <w:tcPr>
            <w:tcW w:w="7225" w:type="dxa"/>
            <w:tcBorders>
              <w:left w:val="single" w:color="auto" w:sz="4" w:space="0"/>
            </w:tcBorders>
            <w:vAlign w:val="center"/>
          </w:tcPr>
          <w:p w14:paraId="091317EE">
            <w:pPr>
              <w:spacing w:line="360" w:lineRule="auto"/>
              <w:rPr>
                <w:rFonts w:hint="eastAsia" w:ascii="仿宋_GB2312" w:hAnsi="宋体" w:eastAsia="仿宋_GB2312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sz w:val="21"/>
                <w:szCs w:val="21"/>
              </w:rPr>
              <w:t>静态位置试验：记录时间0-600秒可调，显示水平、垂直、扭转眼震曲线</w:t>
            </w:r>
          </w:p>
        </w:tc>
      </w:tr>
      <w:tr w14:paraId="722F81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88" w:type="dxa"/>
            <w:tcBorders>
              <w:right w:val="single" w:color="auto" w:sz="4" w:space="0"/>
            </w:tcBorders>
            <w:vAlign w:val="center"/>
          </w:tcPr>
          <w:p w14:paraId="28F11388">
            <w:pPr>
              <w:spacing w:line="276" w:lineRule="auto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2</w:t>
            </w:r>
            <w:r>
              <w:rPr>
                <w:rFonts w:ascii="宋体" w:hAnsi="宋体" w:cs="宋体"/>
                <w:sz w:val="21"/>
                <w:szCs w:val="21"/>
              </w:rPr>
              <w:t>0</w:t>
            </w:r>
          </w:p>
        </w:tc>
        <w:tc>
          <w:tcPr>
            <w:tcW w:w="7225" w:type="dxa"/>
            <w:tcBorders>
              <w:left w:val="single" w:color="auto" w:sz="4" w:space="0"/>
            </w:tcBorders>
            <w:vAlign w:val="center"/>
          </w:tcPr>
          <w:p w14:paraId="13DD7E43">
            <w:pPr>
              <w:spacing w:line="360" w:lineRule="auto"/>
              <w:rPr>
                <w:rFonts w:hint="eastAsia" w:ascii="仿宋_GB2312" w:hAnsi="宋体" w:eastAsia="仿宋_GB2312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sz w:val="21"/>
                <w:szCs w:val="21"/>
              </w:rPr>
              <w:t>动态位置试验：记录时间0-600秒可调，显示水平、垂直、扭转眼震曲线</w:t>
            </w:r>
          </w:p>
        </w:tc>
      </w:tr>
      <w:tr w14:paraId="20D671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</w:trPr>
        <w:tc>
          <w:tcPr>
            <w:tcW w:w="1088" w:type="dxa"/>
            <w:tcBorders>
              <w:right w:val="single" w:color="auto" w:sz="4" w:space="0"/>
            </w:tcBorders>
            <w:vAlign w:val="center"/>
          </w:tcPr>
          <w:p w14:paraId="59D2745D">
            <w:pPr>
              <w:spacing w:line="276" w:lineRule="auto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2</w:t>
            </w:r>
            <w:r>
              <w:rPr>
                <w:rFonts w:ascii="宋体" w:hAnsi="宋体" w:cs="宋体"/>
                <w:sz w:val="21"/>
                <w:szCs w:val="21"/>
              </w:rPr>
              <w:t>1</w:t>
            </w:r>
          </w:p>
        </w:tc>
        <w:tc>
          <w:tcPr>
            <w:tcW w:w="7225" w:type="dxa"/>
            <w:tcBorders>
              <w:left w:val="single" w:color="auto" w:sz="4" w:space="0"/>
            </w:tcBorders>
            <w:vAlign w:val="center"/>
          </w:tcPr>
          <w:p w14:paraId="3430F53C">
            <w:pPr>
              <w:spacing w:line="360" w:lineRule="auto"/>
              <w:rPr>
                <w:rFonts w:hint="eastAsia" w:ascii="仿宋_GB2312" w:hAnsi="宋体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1"/>
                <w:szCs w:val="21"/>
              </w:rPr>
              <w:t>★温度试验：含自发性眼震；灌注期、观察期、凝视抑制期记录时间0-300秒可调；自动计算CP、DP、FI值</w:t>
            </w:r>
            <w:r>
              <w:rPr>
                <w:rFonts w:hint="eastAsia" w:ascii="仿宋_GB2312" w:hAnsi="宋体" w:eastAsia="仿宋_GB2312"/>
                <w:sz w:val="21"/>
                <w:szCs w:val="21"/>
                <w:lang w:eastAsia="zh-CN"/>
              </w:rPr>
              <w:t>。</w:t>
            </w:r>
          </w:p>
        </w:tc>
      </w:tr>
      <w:tr w14:paraId="7E11ED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88" w:type="dxa"/>
            <w:tcBorders>
              <w:right w:val="single" w:color="auto" w:sz="4" w:space="0"/>
            </w:tcBorders>
            <w:vAlign w:val="center"/>
          </w:tcPr>
          <w:p w14:paraId="0300BFA3">
            <w:pPr>
              <w:spacing w:line="276" w:lineRule="auto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2</w:t>
            </w:r>
            <w:r>
              <w:rPr>
                <w:rFonts w:ascii="宋体" w:hAnsi="宋体" w:cs="宋体"/>
                <w:sz w:val="21"/>
                <w:szCs w:val="21"/>
              </w:rPr>
              <w:t>2</w:t>
            </w:r>
          </w:p>
        </w:tc>
        <w:tc>
          <w:tcPr>
            <w:tcW w:w="7225" w:type="dxa"/>
            <w:tcBorders>
              <w:left w:val="single" w:color="auto" w:sz="4" w:space="0"/>
            </w:tcBorders>
            <w:vAlign w:val="center"/>
          </w:tcPr>
          <w:p w14:paraId="5CA579C7">
            <w:pPr>
              <w:spacing w:line="360" w:lineRule="auto"/>
              <w:rPr>
                <w:rFonts w:hint="eastAsia" w:ascii="仿宋_GB2312" w:hAnsi="宋体" w:eastAsia="仿宋_GB2312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sz w:val="21"/>
                <w:szCs w:val="21"/>
              </w:rPr>
              <w:t>视动试验（水平、垂直）；视靶速度0-100度/秒可调，记录时间0-300秒可调，三种诱发视靶</w:t>
            </w:r>
          </w:p>
        </w:tc>
      </w:tr>
      <w:tr w14:paraId="3F4497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1088" w:type="dxa"/>
            <w:tcBorders>
              <w:right w:val="single" w:color="auto" w:sz="4" w:space="0"/>
            </w:tcBorders>
            <w:vAlign w:val="center"/>
          </w:tcPr>
          <w:p w14:paraId="684A69DF">
            <w:pPr>
              <w:spacing w:line="276" w:lineRule="auto"/>
              <w:ind w:firstLine="210" w:firstLineChars="100"/>
              <w:jc w:val="both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7225" w:type="dxa"/>
            <w:tcBorders>
              <w:left w:val="single" w:color="auto" w:sz="4" w:space="0"/>
            </w:tcBorders>
            <w:vAlign w:val="center"/>
          </w:tcPr>
          <w:p w14:paraId="74B4E930">
            <w:pPr>
              <w:spacing w:line="360" w:lineRule="auto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sz w:val="21"/>
                <w:szCs w:val="21"/>
              </w:rPr>
              <w:t>平稳追踪试验（水平、垂直）；视靶0.1-3Hz可调，记录时间0-300秒可调</w:t>
            </w:r>
            <w:r>
              <w:rPr>
                <w:rFonts w:hint="eastAsia" w:ascii="仿宋_GB2312" w:hAnsi="宋体" w:eastAsia="仿宋_GB2312"/>
                <w:sz w:val="21"/>
                <w:szCs w:val="21"/>
              </w:rPr>
              <w:tab/>
            </w:r>
          </w:p>
        </w:tc>
      </w:tr>
      <w:tr w14:paraId="6FB2AA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</w:trPr>
        <w:tc>
          <w:tcPr>
            <w:tcW w:w="1088" w:type="dxa"/>
            <w:tcBorders>
              <w:right w:val="single" w:color="auto" w:sz="4" w:space="0"/>
            </w:tcBorders>
            <w:vAlign w:val="center"/>
          </w:tcPr>
          <w:p w14:paraId="5E06EB8B">
            <w:pPr>
              <w:spacing w:line="276" w:lineRule="auto"/>
              <w:ind w:firstLine="210" w:firstLineChars="100"/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24</w:t>
            </w:r>
          </w:p>
        </w:tc>
        <w:tc>
          <w:tcPr>
            <w:tcW w:w="7225" w:type="dxa"/>
            <w:tcBorders>
              <w:left w:val="single" w:color="auto" w:sz="4" w:space="0"/>
            </w:tcBorders>
            <w:vAlign w:val="center"/>
          </w:tcPr>
          <w:p w14:paraId="5B7D5F2E">
            <w:pPr>
              <w:spacing w:line="276" w:lineRule="auto"/>
              <w:jc w:val="left"/>
              <w:rPr>
                <w:rFonts w:hint="eastAsia" w:ascii="仿宋_GB2312" w:hAnsi="宋体" w:eastAsia="仿宋_GB2312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sz w:val="21"/>
                <w:szCs w:val="21"/>
              </w:rPr>
              <w:t>视频头脉冲试验（甩头、甩头抑制）：可以完成左、右双眼的检查，可进行甩头VVOR、甩头抑制VORS等试验</w:t>
            </w:r>
          </w:p>
        </w:tc>
      </w:tr>
      <w:tr w14:paraId="24D02C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88" w:type="dxa"/>
            <w:tcBorders>
              <w:right w:val="single" w:color="auto" w:sz="4" w:space="0"/>
            </w:tcBorders>
            <w:vAlign w:val="center"/>
          </w:tcPr>
          <w:p w14:paraId="309B9AF7">
            <w:pPr>
              <w:spacing w:line="276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2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25" w:type="dxa"/>
            <w:tcBorders>
              <w:left w:val="single" w:color="auto" w:sz="4" w:space="0"/>
            </w:tcBorders>
            <w:vAlign w:val="center"/>
          </w:tcPr>
          <w:p w14:paraId="69C3A0D8">
            <w:pPr>
              <w:spacing w:line="360" w:lineRule="auto"/>
              <w:rPr>
                <w:rFonts w:hint="eastAsia" w:ascii="仿宋_GB2312" w:hAnsi="宋体" w:eastAsia="仿宋_GB2312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sz w:val="21"/>
                <w:szCs w:val="21"/>
              </w:rPr>
              <w:t>扫视试验（水平、垂直）；视靶随机显示，记录时间0-300秒可调</w:t>
            </w:r>
          </w:p>
        </w:tc>
      </w:tr>
      <w:tr w14:paraId="364E77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</w:trPr>
        <w:tc>
          <w:tcPr>
            <w:tcW w:w="1088" w:type="dxa"/>
            <w:tcBorders>
              <w:right w:val="single" w:color="auto" w:sz="4" w:space="0"/>
            </w:tcBorders>
            <w:vAlign w:val="center"/>
          </w:tcPr>
          <w:p w14:paraId="26284D40">
            <w:pPr>
              <w:spacing w:line="276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2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25" w:type="dxa"/>
            <w:tcBorders>
              <w:left w:val="single" w:color="auto" w:sz="4" w:space="0"/>
            </w:tcBorders>
            <w:vAlign w:val="center"/>
          </w:tcPr>
          <w:p w14:paraId="0DBCC22B">
            <w:pPr>
              <w:spacing w:line="360" w:lineRule="auto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sz w:val="21"/>
                <w:szCs w:val="21"/>
              </w:rPr>
              <w:t>凝视试验（水平、垂直）：水平方向±30度可调，垂直方向±30度可调；靶点停留时间0-20秒可调</w:t>
            </w:r>
          </w:p>
        </w:tc>
      </w:tr>
      <w:tr w14:paraId="17B340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88" w:type="dxa"/>
            <w:tcBorders>
              <w:right w:val="single" w:color="auto" w:sz="4" w:space="0"/>
            </w:tcBorders>
            <w:vAlign w:val="center"/>
          </w:tcPr>
          <w:p w14:paraId="17CD5046">
            <w:pPr>
              <w:spacing w:line="276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2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7225" w:type="dxa"/>
            <w:tcBorders>
              <w:left w:val="single" w:color="auto" w:sz="4" w:space="0"/>
            </w:tcBorders>
            <w:vAlign w:val="center"/>
          </w:tcPr>
          <w:p w14:paraId="1240D35C">
            <w:pPr>
              <w:spacing w:line="276" w:lineRule="auto"/>
              <w:jc w:val="left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sz w:val="21"/>
                <w:szCs w:val="21"/>
              </w:rPr>
              <w:t>自定义试验：可设置摇头试验、瘘管试验、甘油试验等项目。</w:t>
            </w:r>
          </w:p>
        </w:tc>
      </w:tr>
      <w:tr w14:paraId="3A1D9E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88" w:type="dxa"/>
            <w:tcBorders>
              <w:right w:val="single" w:color="auto" w:sz="4" w:space="0"/>
            </w:tcBorders>
            <w:vAlign w:val="center"/>
          </w:tcPr>
          <w:p w14:paraId="13127E55">
            <w:pPr>
              <w:spacing w:line="276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2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7225" w:type="dxa"/>
            <w:tcBorders>
              <w:left w:val="single" w:color="auto" w:sz="4" w:space="0"/>
            </w:tcBorders>
            <w:vAlign w:val="center"/>
          </w:tcPr>
          <w:p w14:paraId="5128189F"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sz w:val="21"/>
                <w:szCs w:val="21"/>
              </w:rPr>
              <w:t>基本要求：自主研发诊断软件，视频图像清晰，包含视频储存回放功能。</w:t>
            </w:r>
          </w:p>
        </w:tc>
      </w:tr>
      <w:tr w14:paraId="5922FF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88" w:type="dxa"/>
            <w:tcBorders>
              <w:right w:val="single" w:color="auto" w:sz="4" w:space="0"/>
            </w:tcBorders>
            <w:vAlign w:val="center"/>
          </w:tcPr>
          <w:p w14:paraId="1AC8A6FE">
            <w:pPr>
              <w:spacing w:line="276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2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7225" w:type="dxa"/>
            <w:tcBorders>
              <w:left w:val="single" w:color="auto" w:sz="4" w:space="0"/>
            </w:tcBorders>
            <w:vAlign w:val="center"/>
          </w:tcPr>
          <w:p w14:paraId="1DCE34A9">
            <w:pPr>
              <w:spacing w:line="360" w:lineRule="auto"/>
              <w:rPr>
                <w:rFonts w:hint="eastAsia" w:ascii="仿宋_GB2312" w:hAnsi="宋体" w:eastAsia="仿宋_GB2312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sz w:val="21"/>
                <w:szCs w:val="21"/>
              </w:rPr>
              <w:t>可描记和分析眼球水平、垂直、扭转3D运动曲线，并且出具眼震报告。</w:t>
            </w:r>
          </w:p>
        </w:tc>
      </w:tr>
      <w:tr w14:paraId="19E305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1088" w:type="dxa"/>
            <w:tcBorders>
              <w:right w:val="single" w:color="auto" w:sz="4" w:space="0"/>
            </w:tcBorders>
            <w:vAlign w:val="center"/>
          </w:tcPr>
          <w:p w14:paraId="2AFBE934">
            <w:pPr>
              <w:spacing w:line="276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7225" w:type="dxa"/>
            <w:tcBorders>
              <w:left w:val="single" w:color="auto" w:sz="4" w:space="0"/>
            </w:tcBorders>
            <w:vAlign w:val="center"/>
          </w:tcPr>
          <w:p w14:paraId="529712D0">
            <w:pPr>
              <w:spacing w:line="276" w:lineRule="auto"/>
              <w:jc w:val="left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sz w:val="21"/>
                <w:szCs w:val="21"/>
              </w:rPr>
              <w:t>四位一体同步显示：眼动视频、体位视频、眼震曲线、SPV值四位一体同步显示；可自动分析慢相角速度，且播放速度可调。</w:t>
            </w:r>
          </w:p>
        </w:tc>
      </w:tr>
      <w:tr w14:paraId="419387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</w:trPr>
        <w:tc>
          <w:tcPr>
            <w:tcW w:w="1088" w:type="dxa"/>
            <w:tcBorders>
              <w:right w:val="single" w:color="auto" w:sz="4" w:space="0"/>
            </w:tcBorders>
            <w:vAlign w:val="center"/>
          </w:tcPr>
          <w:p w14:paraId="3FDEBAD4">
            <w:pPr>
              <w:spacing w:line="276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3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225" w:type="dxa"/>
            <w:tcBorders>
              <w:left w:val="single" w:color="auto" w:sz="4" w:space="0"/>
            </w:tcBorders>
            <w:vAlign w:val="center"/>
          </w:tcPr>
          <w:p w14:paraId="1F2209CE">
            <w:pPr>
              <w:spacing w:line="360" w:lineRule="auto"/>
              <w:rPr>
                <w:rFonts w:hint="eastAsia" w:ascii="仿宋_GB2312" w:hAnsi="宋体" w:eastAsia="仿宋_GB2312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sz w:val="21"/>
                <w:szCs w:val="21"/>
              </w:rPr>
              <w:t>分析功能：每个实验可以单独获取的眼震数据，并进行独立分析；具备精确的眼震分析图；可以分析病人有无眼震，显示眼震的方向以及慢相角速度；精度0.1度</w:t>
            </w:r>
          </w:p>
        </w:tc>
      </w:tr>
      <w:tr w14:paraId="1A1356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088" w:type="dxa"/>
            <w:tcBorders>
              <w:right w:val="single" w:color="auto" w:sz="4" w:space="0"/>
            </w:tcBorders>
            <w:vAlign w:val="center"/>
          </w:tcPr>
          <w:p w14:paraId="7856A3CA">
            <w:pPr>
              <w:spacing w:line="276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3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25" w:type="dxa"/>
            <w:tcBorders>
              <w:left w:val="single" w:color="auto" w:sz="4" w:space="0"/>
            </w:tcBorders>
            <w:vAlign w:val="center"/>
          </w:tcPr>
          <w:p w14:paraId="597BF58C"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sz w:val="21"/>
                <w:szCs w:val="21"/>
              </w:rPr>
              <w:t>内置问诊表：包含总结、眩晕及平衡失调、听力下降、耳鸣、步态失调、头痛、既往史、家族史、个人史和过往诊断治疗史等</w:t>
            </w:r>
          </w:p>
        </w:tc>
      </w:tr>
      <w:tr w14:paraId="6943FD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088" w:type="dxa"/>
            <w:tcBorders>
              <w:right w:val="single" w:color="auto" w:sz="4" w:space="0"/>
            </w:tcBorders>
            <w:vAlign w:val="center"/>
          </w:tcPr>
          <w:p w14:paraId="434F7AE4">
            <w:pPr>
              <w:spacing w:line="276" w:lineRule="auto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3</w:t>
            </w:r>
            <w:r>
              <w:rPr>
                <w:rFonts w:ascii="宋体" w:hAnsi="宋体" w:cs="宋体"/>
                <w:sz w:val="21"/>
                <w:szCs w:val="21"/>
              </w:rPr>
              <w:t>3</w:t>
            </w:r>
          </w:p>
        </w:tc>
        <w:tc>
          <w:tcPr>
            <w:tcW w:w="7225" w:type="dxa"/>
            <w:tcBorders>
              <w:left w:val="single" w:color="auto" w:sz="4" w:space="0"/>
            </w:tcBorders>
            <w:vAlign w:val="center"/>
          </w:tcPr>
          <w:p w14:paraId="3D18B229">
            <w:pPr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sz w:val="21"/>
                <w:szCs w:val="21"/>
              </w:rPr>
              <w:t>诊断报告：单独打印每个实验的分析数据图以及医生的初诊结果，可以展示中心医院专家会诊后的病例报告。</w:t>
            </w:r>
          </w:p>
        </w:tc>
      </w:tr>
      <w:tr w14:paraId="48820A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88" w:type="dxa"/>
            <w:tcBorders>
              <w:right w:val="single" w:color="auto" w:sz="4" w:space="0"/>
            </w:tcBorders>
            <w:vAlign w:val="center"/>
          </w:tcPr>
          <w:p w14:paraId="4E5D80D3">
            <w:pPr>
              <w:spacing w:line="276" w:lineRule="auto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3</w:t>
            </w:r>
            <w:r>
              <w:rPr>
                <w:rFonts w:ascii="宋体" w:hAnsi="宋体" w:cs="宋体"/>
                <w:sz w:val="21"/>
                <w:szCs w:val="21"/>
              </w:rPr>
              <w:t>4</w:t>
            </w:r>
          </w:p>
        </w:tc>
        <w:tc>
          <w:tcPr>
            <w:tcW w:w="7225" w:type="dxa"/>
            <w:tcBorders>
              <w:left w:val="single" w:color="auto" w:sz="4" w:space="0"/>
            </w:tcBorders>
            <w:vAlign w:val="center"/>
          </w:tcPr>
          <w:p w14:paraId="43273313">
            <w:pPr>
              <w:spacing w:line="360" w:lineRule="auto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sz w:val="21"/>
                <w:szCs w:val="21"/>
              </w:rPr>
              <w:t>体位视频：同步体位视频采集，方便回顾实验时判断眼震方向</w:t>
            </w:r>
          </w:p>
        </w:tc>
      </w:tr>
      <w:tr w14:paraId="7B8831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</w:trPr>
        <w:tc>
          <w:tcPr>
            <w:tcW w:w="1088" w:type="dxa"/>
            <w:tcBorders>
              <w:right w:val="single" w:color="auto" w:sz="4" w:space="0"/>
            </w:tcBorders>
            <w:vAlign w:val="center"/>
          </w:tcPr>
          <w:p w14:paraId="00CE9B8D">
            <w:pPr>
              <w:spacing w:line="276" w:lineRule="auto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3</w:t>
            </w:r>
            <w:r>
              <w:rPr>
                <w:rFonts w:ascii="宋体" w:hAnsi="宋体" w:cs="宋体"/>
                <w:sz w:val="21"/>
                <w:szCs w:val="21"/>
              </w:rPr>
              <w:t>5</w:t>
            </w:r>
          </w:p>
        </w:tc>
        <w:tc>
          <w:tcPr>
            <w:tcW w:w="7225" w:type="dxa"/>
            <w:tcBorders>
              <w:left w:val="single" w:color="auto" w:sz="4" w:space="0"/>
            </w:tcBorders>
            <w:vAlign w:val="center"/>
          </w:tcPr>
          <w:p w14:paraId="4E517610">
            <w:pPr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sz w:val="21"/>
                <w:szCs w:val="21"/>
              </w:rPr>
              <w:t>远程数据传输：建立中心医院与基层医院之间的连接，能够把病例上传到中心医院，专家可以看到眼动视频、体位视频、眼震曲线、SPV值四位一体同步显示，由中心医院专家诊断之后生成诊断报告，并将诊断报告通过同一平台发送回基层医院。</w:t>
            </w:r>
          </w:p>
        </w:tc>
      </w:tr>
      <w:tr w14:paraId="4FE5BB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88" w:type="dxa"/>
            <w:tcBorders>
              <w:right w:val="single" w:color="auto" w:sz="4" w:space="0"/>
            </w:tcBorders>
            <w:vAlign w:val="center"/>
          </w:tcPr>
          <w:p w14:paraId="1C29E2EA">
            <w:pPr>
              <w:spacing w:line="276" w:lineRule="auto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3</w:t>
            </w:r>
            <w:r>
              <w:rPr>
                <w:rFonts w:ascii="宋体" w:hAnsi="宋体" w:cs="宋体"/>
                <w:sz w:val="21"/>
                <w:szCs w:val="21"/>
              </w:rPr>
              <w:t>6</w:t>
            </w:r>
          </w:p>
        </w:tc>
        <w:tc>
          <w:tcPr>
            <w:tcW w:w="7225" w:type="dxa"/>
            <w:tcBorders>
              <w:left w:val="single" w:color="auto" w:sz="4" w:space="0"/>
            </w:tcBorders>
            <w:vAlign w:val="center"/>
          </w:tcPr>
          <w:p w14:paraId="1FF02F1C">
            <w:pPr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sz w:val="21"/>
                <w:szCs w:val="21"/>
              </w:rPr>
              <w:t>语言：中文、英文</w:t>
            </w:r>
          </w:p>
        </w:tc>
      </w:tr>
    </w:tbl>
    <w:p w14:paraId="0F16EC74"/>
    <w:p w14:paraId="4C723250">
      <w:pPr>
        <w:rPr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3MzgxYTNhZTNlYTAxNGM4NTI4NDVlNDlmOTE1YTAifQ=="/>
  </w:docVars>
  <w:rsids>
    <w:rsidRoot w:val="00397BE6"/>
    <w:rsid w:val="0010162B"/>
    <w:rsid w:val="0012745C"/>
    <w:rsid w:val="001331B3"/>
    <w:rsid w:val="001528F7"/>
    <w:rsid w:val="0018109F"/>
    <w:rsid w:val="001C6B00"/>
    <w:rsid w:val="001D6ACE"/>
    <w:rsid w:val="0022242C"/>
    <w:rsid w:val="00223E47"/>
    <w:rsid w:val="0038793F"/>
    <w:rsid w:val="00397BE6"/>
    <w:rsid w:val="003F3834"/>
    <w:rsid w:val="00443569"/>
    <w:rsid w:val="004A79B2"/>
    <w:rsid w:val="00571054"/>
    <w:rsid w:val="005C21D5"/>
    <w:rsid w:val="00617475"/>
    <w:rsid w:val="00673994"/>
    <w:rsid w:val="00745C0B"/>
    <w:rsid w:val="00784049"/>
    <w:rsid w:val="0084668B"/>
    <w:rsid w:val="00891A7E"/>
    <w:rsid w:val="008A1D03"/>
    <w:rsid w:val="008A6005"/>
    <w:rsid w:val="008D2CF6"/>
    <w:rsid w:val="008E5141"/>
    <w:rsid w:val="009F766B"/>
    <w:rsid w:val="009F7EC7"/>
    <w:rsid w:val="00A039BB"/>
    <w:rsid w:val="00A1169B"/>
    <w:rsid w:val="00A202C7"/>
    <w:rsid w:val="00A604D0"/>
    <w:rsid w:val="00AF55D6"/>
    <w:rsid w:val="00B607CA"/>
    <w:rsid w:val="00B75DB5"/>
    <w:rsid w:val="00B92978"/>
    <w:rsid w:val="00BB6BF8"/>
    <w:rsid w:val="00CD25E4"/>
    <w:rsid w:val="00D16FDE"/>
    <w:rsid w:val="00D64761"/>
    <w:rsid w:val="00E0452A"/>
    <w:rsid w:val="00E37AAE"/>
    <w:rsid w:val="00E407BB"/>
    <w:rsid w:val="00ED5BE3"/>
    <w:rsid w:val="00F035F9"/>
    <w:rsid w:val="00F270E6"/>
    <w:rsid w:val="00F317B9"/>
    <w:rsid w:val="00F5129C"/>
    <w:rsid w:val="00FF05FB"/>
    <w:rsid w:val="08AC4D46"/>
    <w:rsid w:val="0CD30126"/>
    <w:rsid w:val="0EC20452"/>
    <w:rsid w:val="103A130F"/>
    <w:rsid w:val="120B0362"/>
    <w:rsid w:val="142E78D8"/>
    <w:rsid w:val="159562C2"/>
    <w:rsid w:val="15FE7F25"/>
    <w:rsid w:val="18C80D5B"/>
    <w:rsid w:val="1D6372A4"/>
    <w:rsid w:val="1F971487"/>
    <w:rsid w:val="202F5B2F"/>
    <w:rsid w:val="257578B5"/>
    <w:rsid w:val="2ABC7FF4"/>
    <w:rsid w:val="2CE9387D"/>
    <w:rsid w:val="2CEF0EF1"/>
    <w:rsid w:val="302942A8"/>
    <w:rsid w:val="35C44785"/>
    <w:rsid w:val="36525CB0"/>
    <w:rsid w:val="366C6D72"/>
    <w:rsid w:val="3ED96F6F"/>
    <w:rsid w:val="426A535A"/>
    <w:rsid w:val="42993F17"/>
    <w:rsid w:val="48E40097"/>
    <w:rsid w:val="496164CF"/>
    <w:rsid w:val="576553EC"/>
    <w:rsid w:val="5FEB66AA"/>
    <w:rsid w:val="69935DE8"/>
    <w:rsid w:val="69EF44E0"/>
    <w:rsid w:val="6DAA1953"/>
    <w:rsid w:val="72950EB3"/>
    <w:rsid w:val="74471CA9"/>
    <w:rsid w:val="7B1D19B6"/>
    <w:rsid w:val="7F5475D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3424</Words>
  <Characters>3748</Characters>
  <Lines>19</Lines>
  <Paragraphs>5</Paragraphs>
  <TotalTime>4</TotalTime>
  <ScaleCrop>false</ScaleCrop>
  <LinksUpToDate>false</LinksUpToDate>
  <CharactersWithSpaces>3787</CharactersWithSpaces>
  <Application>WPS Office_12.1.0.18543_F1E327BC-269C-435d-A152-05C5408002CA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2021-06-25T08:48:00Z</dcterms:created>
  <dc:creator>lenovo</dc:creator>
  <cp:lastModifiedBy>沧桑年轮</cp:lastModifiedBy>
  <dcterms:modified xsi:type="dcterms:W3CDTF">2024-12-09T05:42:46Z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2052-12.1.0.18543</vt:lpwstr>
  </property>
  <property fmtid="{D5CDD505-2E9C-101B-9397-08002B2CF9AE}" pid="3" name="ICV">
    <vt:lpwstr>E86888899B35424EB5241A4C1612D5DF_13</vt:lpwstr>
  </property>
</Properties>
</file>